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D1A43">
      <w:pPr>
        <w:keepNext w:val="0"/>
        <w:keepLines w:val="0"/>
        <w:pageBreakBefore w:val="0"/>
        <w:widowControl w:val="0"/>
        <w:kinsoku/>
        <w:wordWrap/>
        <w:overflowPunct/>
        <w:topLinePunct w:val="0"/>
        <w:autoSpaceDE/>
        <w:autoSpaceDN/>
        <w:bidi w:val="0"/>
        <w:adjustRightInd/>
        <w:snapToGrid/>
        <w:spacing w:before="156" w:beforeLines="50" w:line="1600" w:lineRule="exact"/>
        <w:ind w:left="-210" w:leftChars="-100" w:right="-210" w:rightChars="-100"/>
        <w:jc w:val="center"/>
        <w:textAlignment w:val="auto"/>
        <w:rPr>
          <w:rFonts w:ascii="Calibri" w:hAnsi="Calibri" w:eastAsia="华文中宋" w:cs="华文中宋"/>
          <w:b/>
          <w:bCs/>
          <w:color w:val="FF0000"/>
          <w:spacing w:val="50"/>
          <w:w w:val="60"/>
          <w:sz w:val="132"/>
          <w:szCs w:val="132"/>
        </w:rPr>
      </w:pPr>
    </w:p>
    <w:p w14:paraId="3D7A383B">
      <w:pPr>
        <w:spacing w:before="156" w:beforeLines="50" w:line="1300" w:lineRule="exact"/>
        <w:ind w:left="-210" w:leftChars="-100" w:right="-210" w:rightChars="-100"/>
        <w:jc w:val="center"/>
        <w:rPr>
          <w:rFonts w:ascii="Calibri" w:hAnsi="Calibri" w:eastAsia="华文中宋" w:cs="Times New Roman"/>
          <w:b/>
          <w:bCs/>
          <w:color w:val="FF0000"/>
          <w:spacing w:val="50"/>
          <w:w w:val="60"/>
          <w:sz w:val="132"/>
          <w:szCs w:val="132"/>
        </w:rPr>
      </w:pPr>
      <w:r>
        <w:rPr>
          <w:rFonts w:ascii="Calibri" w:hAnsi="Calibri" w:eastAsia="华文中宋" w:cs="华文中宋"/>
          <w:b/>
          <w:bCs/>
          <w:color w:val="FF0000"/>
          <w:spacing w:val="50"/>
          <w:w w:val="60"/>
          <w:sz w:val="132"/>
          <w:szCs w:val="132"/>
        </w:rPr>
        <w:t>苏州市城市管理局文件</w:t>
      </w:r>
    </w:p>
    <w:p w14:paraId="38208C2A">
      <w:pPr>
        <w:keepNext w:val="0"/>
        <w:keepLines w:val="0"/>
        <w:pageBreakBefore w:val="0"/>
        <w:widowControl w:val="0"/>
        <w:kinsoku/>
        <w:wordWrap/>
        <w:overflowPunct/>
        <w:topLinePunct w:val="0"/>
        <w:autoSpaceDE/>
        <w:autoSpaceDN/>
        <w:bidi w:val="0"/>
        <w:adjustRightInd/>
        <w:snapToGrid/>
        <w:spacing w:line="560" w:lineRule="exact"/>
        <w:ind w:firstLine="641"/>
        <w:jc w:val="center"/>
        <w:textAlignment w:val="auto"/>
        <w:rPr>
          <w:rFonts w:ascii="仿宋_GB2312" w:hAnsi="Calibri" w:eastAsia="宋体" w:cs="Times New Roman"/>
          <w:color w:val="000000"/>
          <w:szCs w:val="24"/>
        </w:rPr>
      </w:pPr>
    </w:p>
    <w:p w14:paraId="1E815EA6">
      <w:pPr>
        <w:keepNext w:val="0"/>
        <w:keepLines w:val="0"/>
        <w:pageBreakBefore w:val="0"/>
        <w:kinsoku/>
        <w:wordWrap/>
        <w:overflowPunct/>
        <w:topLinePunct w:val="0"/>
        <w:autoSpaceDE/>
        <w:autoSpaceDN/>
        <w:bidi w:val="0"/>
        <w:spacing w:line="576" w:lineRule="exact"/>
        <w:jc w:val="center"/>
        <w:textAlignment w:val="auto"/>
        <w:rPr>
          <w:rFonts w:ascii="仿宋_GB2312" w:hAnsi="Calibri" w:eastAsia="仿宋_GB2312" w:cs="Times New Roman"/>
          <w:color w:val="000000"/>
          <w:sz w:val="32"/>
          <w:szCs w:val="32"/>
        </w:rPr>
      </w:pPr>
      <w:r>
        <w:rPr>
          <w:rFonts w:ascii="仿宋_GB2312" w:hAnsi="Calibri" w:eastAsia="仿宋_GB2312" w:cs="仿宋_GB2312"/>
          <w:color w:val="000000"/>
          <w:sz w:val="32"/>
          <w:szCs w:val="32"/>
        </w:rPr>
        <w:t>苏</w:t>
      </w:r>
      <w:r>
        <w:rPr>
          <w:rFonts w:hint="eastAsia" w:ascii="仿宋_GB2312" w:hAnsi="Calibri" w:eastAsia="仿宋_GB2312" w:cs="仿宋_GB2312"/>
          <w:color w:val="000000"/>
          <w:sz w:val="32"/>
          <w:szCs w:val="32"/>
          <w:lang w:val="en-US" w:eastAsia="zh-CN"/>
        </w:rPr>
        <w:t>州</w:t>
      </w:r>
      <w:r>
        <w:rPr>
          <w:rFonts w:ascii="仿宋_GB2312" w:hAnsi="Calibri" w:eastAsia="仿宋_GB2312" w:cs="仿宋_GB2312"/>
          <w:color w:val="000000"/>
          <w:sz w:val="32"/>
          <w:szCs w:val="32"/>
        </w:rPr>
        <w:t>城发</w:t>
      </w:r>
      <w:r>
        <w:rPr>
          <w:rFonts w:ascii="仿宋_GB2312" w:hAnsi="宋体" w:eastAsia="仿宋_GB2312" w:cs="仿宋_GB2312"/>
          <w:color w:val="000000"/>
          <w:sz w:val="32"/>
          <w:szCs w:val="32"/>
        </w:rPr>
        <w:t>〔202</w:t>
      </w:r>
      <w:r>
        <w:rPr>
          <w:rFonts w:hint="eastAsia" w:ascii="仿宋_GB2312" w:hAnsi="宋体" w:eastAsia="仿宋_GB2312" w:cs="仿宋_GB2312"/>
          <w:color w:val="000000"/>
          <w:sz w:val="32"/>
          <w:szCs w:val="32"/>
          <w:lang w:val="en-US" w:eastAsia="zh-CN"/>
        </w:rPr>
        <w:t>6</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lang w:val="en-US" w:eastAsia="zh-CN"/>
        </w:rPr>
        <w:t>14</w:t>
      </w:r>
      <w:r>
        <w:rPr>
          <w:rFonts w:ascii="仿宋_GB2312" w:hAnsi="宋体" w:eastAsia="仿宋_GB2312" w:cs="仿宋_GB2312"/>
          <w:color w:val="000000"/>
          <w:sz w:val="32"/>
          <w:szCs w:val="32"/>
        </w:rPr>
        <w:t>号</w:t>
      </w:r>
    </w:p>
    <w:p w14:paraId="28F44834">
      <w:pPr>
        <w:keepNext w:val="0"/>
        <w:keepLines w:val="0"/>
        <w:pageBreakBefore w:val="0"/>
        <w:widowControl w:val="0"/>
        <w:kinsoku/>
        <w:wordWrap/>
        <w:overflowPunct/>
        <w:topLinePunct w:val="0"/>
        <w:autoSpaceDE/>
        <w:autoSpaceDN/>
        <w:bidi w:val="0"/>
        <w:adjustRightInd/>
        <w:snapToGrid/>
        <w:spacing w:line="716" w:lineRule="exact"/>
        <w:ind w:firstLine="641"/>
        <w:jc w:val="center"/>
        <w:textAlignment w:val="auto"/>
        <w:rPr>
          <w:rFonts w:hint="eastAsia" w:ascii="方正小标宋简体" w:hAnsi="方正小标宋简体" w:eastAsia="方正小标宋简体" w:cs="方正小标宋简体"/>
          <w:sz w:val="44"/>
          <w:szCs w:val="44"/>
          <w:u w:val="none"/>
          <w:lang w:val="en-US" w:eastAsia="zh-CN"/>
        </w:rPr>
      </w:pPr>
      <w:r>
        <w:rPr>
          <w:rFonts w:ascii="Calibri" w:hAnsi="Calibri" w:eastAsia="宋体" w:cs="Times New Roman"/>
          <w:color w:val="000000"/>
          <w:szCs w:val="24"/>
        </w:rPr>
        <mc:AlternateContent>
          <mc:Choice Requires="wps">
            <w:drawing>
              <wp:anchor distT="0" distB="0" distL="114300" distR="114300" simplePos="0" relativeHeight="251659264" behindDoc="0" locked="0" layoutInCell="1" allowOverlap="1">
                <wp:simplePos x="0" y="0"/>
                <wp:positionH relativeFrom="column">
                  <wp:posOffset>-48895</wp:posOffset>
                </wp:positionH>
                <wp:positionV relativeFrom="paragraph">
                  <wp:posOffset>59055</wp:posOffset>
                </wp:positionV>
                <wp:extent cx="5615940" cy="0"/>
                <wp:effectExtent l="0" t="15875" r="3810" b="22225"/>
                <wp:wrapNone/>
                <wp:docPr id="5" name="直线 2"/>
                <wp:cNvGraphicFramePr/>
                <a:graphic xmlns:a="http://schemas.openxmlformats.org/drawingml/2006/main">
                  <a:graphicData uri="http://schemas.microsoft.com/office/word/2010/wordprocessingShape">
                    <wps:wsp>
                      <wps:cNvCnPr/>
                      <wps:spPr>
                        <a:xfrm>
                          <a:off x="0" y="0"/>
                          <a:ext cx="5615940" cy="0"/>
                        </a:xfrm>
                        <a:prstGeom prst="line">
                          <a:avLst/>
                        </a:prstGeom>
                        <a:ln w="31750" cap="flat" cmpd="sng">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3.85pt;margin-top:4.65pt;height:0pt;width:442.2pt;z-index:251659264;mso-width-relative:page;mso-height-relative:page;" filled="f" stroked="t" coordsize="21600,21600" o:gfxdata="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NZseK&#10;1QAAAAYBAAAPAAAAAAAAAAEAIAAAACIAAABkcnMvZG93bnJldi54bWxQSwECFAAUAAAACACHTuJA&#10;yYsrFusBAADcAwAADgAAAAAAAAABACAAAAAkAQAAZHJzL2Uyb0RvYy54bWxQSwUGAAAAAAYABgBZ&#10;AQAAgQUAAAAA&#10;">
                <v:fill on="f" focussize="0,0"/>
                <v:stroke weight="2.5pt" color="#FF0000" joinstyle="round"/>
                <v:imagedata o:title=""/>
                <o:lock v:ext="edit" aspectratio="f"/>
              </v:line>
            </w:pict>
          </mc:Fallback>
        </mc:AlternateContent>
      </w:r>
    </w:p>
    <w:p w14:paraId="4169776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u w:val="none"/>
          <w:lang w:val="en-US" w:eastAsia="zh-CN"/>
        </w:rPr>
      </w:pPr>
      <w:r>
        <w:rPr>
          <w:rFonts w:hint="eastAsia" w:ascii="方正小标宋_GBK" w:hAnsi="方正小标宋_GBK" w:eastAsia="方正小标宋_GBK" w:cs="方正小标宋_GBK"/>
          <w:sz w:val="44"/>
          <w:szCs w:val="44"/>
          <w:u w:val="none"/>
          <w:lang w:val="en-US" w:eastAsia="zh-CN"/>
        </w:rPr>
        <w:t>关于印发苏州市城市管理局市设行政检查</w:t>
      </w:r>
    </w:p>
    <w:p w14:paraId="28AA7DF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sz w:val="44"/>
          <w:szCs w:val="44"/>
          <w:u w:val="none"/>
          <w:lang w:val="en-US" w:eastAsia="zh-CN"/>
        </w:rPr>
      </w:pPr>
      <w:r>
        <w:rPr>
          <w:rFonts w:hint="eastAsia" w:ascii="方正小标宋_GBK" w:hAnsi="方正小标宋_GBK" w:eastAsia="方正小标宋_GBK" w:cs="方正小标宋_GBK"/>
          <w:sz w:val="44"/>
          <w:szCs w:val="44"/>
          <w:u w:val="none"/>
          <w:lang w:val="en-US" w:eastAsia="zh-CN"/>
        </w:rPr>
        <w:t>事项清单（2026版）的通知</w:t>
      </w:r>
    </w:p>
    <w:p w14:paraId="648D76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小标宋简体" w:cs="Times New Roman"/>
          <w:sz w:val="44"/>
          <w:szCs w:val="44"/>
          <w:u w:val="none"/>
          <w:lang w:val="en-US" w:eastAsia="zh-CN"/>
        </w:rPr>
      </w:pPr>
    </w:p>
    <w:p w14:paraId="3DF82D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各县级市（区）城市管理局（综合行政执法局），市城管局机关各处室、各基层单位：</w:t>
      </w:r>
    </w:p>
    <w:p w14:paraId="105D4C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现将《苏州市城市管理局市设行政检查事项清单（2026版）》印发给你们，请认真抓好贯彻落实。</w:t>
      </w:r>
    </w:p>
    <w:p w14:paraId="182DB99D">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rPr>
          <w:rFonts w:hint="eastAsia" w:ascii="仿宋_GB2312" w:hAnsi="仿宋_GB2312" w:eastAsia="仿宋_GB2312" w:cs="仿宋_GB2312"/>
          <w:sz w:val="32"/>
          <w:szCs w:val="32"/>
          <w:u w:val="none"/>
          <w:lang w:val="en-US" w:eastAsia="zh-CN"/>
        </w:rPr>
      </w:pPr>
    </w:p>
    <w:p w14:paraId="76B4A5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附件：苏州市城市管理局市设行政检查事项清单（2026版）</w:t>
      </w:r>
    </w:p>
    <w:p w14:paraId="6F304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p>
    <w:p w14:paraId="6B034B59">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1EB435FE">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苏州市城市管理局    </w:t>
      </w:r>
    </w:p>
    <w:p w14:paraId="4E3B72EE">
      <w:pPr>
        <w:keepNext w:val="0"/>
        <w:keepLines w:val="0"/>
        <w:pageBreakBefore w:val="0"/>
        <w:widowControl w:val="0"/>
        <w:kinsoku/>
        <w:wordWrap w:val="0"/>
        <w:overflowPunct/>
        <w:topLinePunct w:val="0"/>
        <w:autoSpaceDE/>
        <w:autoSpaceDN/>
        <w:bidi w:val="0"/>
        <w:adjustRightInd/>
        <w:snapToGrid/>
        <w:spacing w:line="560" w:lineRule="exact"/>
        <w:ind w:right="1283" w:rightChars="611" w:firstLine="640" w:firstLineChars="200"/>
        <w:jc w:val="righ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2026年3月26日    </w:t>
      </w:r>
    </w:p>
    <w:p w14:paraId="0F0AA4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u w:val="none"/>
          <w:lang w:val="en-US" w:eastAsia="zh-CN"/>
        </w:rPr>
        <w:sectPr>
          <w:footerReference r:id="rId3" w:type="default"/>
          <w:footerReference r:id="rId4" w:type="even"/>
          <w:pgSz w:w="11906" w:h="16838"/>
          <w:pgMar w:top="2098" w:right="1474" w:bottom="1984" w:left="1587" w:header="851" w:footer="1417" w:gutter="0"/>
          <w:pgNumType w:fmt="decimal"/>
          <w:cols w:space="0" w:num="1"/>
          <w:docGrid w:type="lines" w:linePitch="442" w:charSpace="0"/>
        </w:sectPr>
      </w:pPr>
      <w:r>
        <w:rPr>
          <w:rFonts w:hint="default" w:ascii="Times New Roman" w:hAnsi="Times New Roman" w:eastAsia="仿宋_GB2312" w:cs="Times New Roman"/>
          <w:sz w:val="32"/>
          <w:szCs w:val="32"/>
          <w:u w:val="none"/>
          <w:lang w:val="en-US" w:eastAsia="zh-CN"/>
        </w:rPr>
        <w:t>（此件公开发布）</w:t>
      </w:r>
    </w:p>
    <w:p w14:paraId="62A279CE">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17B1353B">
      <w:pPr>
        <w:jc w:val="center"/>
        <w:rPr>
          <w:rFonts w:ascii="Times New Roman" w:hAnsi="Times New Roman" w:eastAsia="方正小标宋简体" w:cs="Calibri"/>
          <w:sz w:val="44"/>
          <w:szCs w:val="44"/>
        </w:rPr>
      </w:pPr>
      <w:r>
        <w:rPr>
          <w:rFonts w:hint="eastAsia" w:ascii="方正小标宋_GBK" w:hAnsi="方正小标宋_GBK" w:eastAsia="方正小标宋_GBK" w:cs="方正小标宋_GBK"/>
          <w:sz w:val="44"/>
          <w:szCs w:val="44"/>
          <w:lang w:val="en-US" w:eastAsia="zh-CN"/>
        </w:rPr>
        <w:t>苏州市城市管理</w:t>
      </w:r>
      <w:r>
        <w:rPr>
          <w:rFonts w:hint="eastAsia" w:ascii="方正小标宋_GBK" w:hAnsi="方正小标宋_GBK" w:eastAsia="方正小标宋_GBK" w:cs="方正小标宋_GBK"/>
          <w:sz w:val="44"/>
          <w:szCs w:val="44"/>
        </w:rPr>
        <w:t>局</w:t>
      </w:r>
      <w:r>
        <w:rPr>
          <w:rFonts w:hint="eastAsia" w:ascii="方正小标宋_GBK" w:hAnsi="方正小标宋_GBK" w:eastAsia="方正小标宋_GBK" w:cs="方正小标宋_GBK"/>
          <w:sz w:val="44"/>
          <w:szCs w:val="44"/>
          <w:lang w:val="en-US" w:eastAsia="zh-CN"/>
        </w:rPr>
        <w:t>市设</w:t>
      </w:r>
      <w:r>
        <w:rPr>
          <w:rFonts w:hint="eastAsia" w:ascii="方正小标宋_GBK" w:hAnsi="方正小标宋_GBK" w:eastAsia="方正小标宋_GBK" w:cs="方正小标宋_GBK"/>
          <w:sz w:val="44"/>
          <w:szCs w:val="44"/>
        </w:rPr>
        <w:t>行政检查事项清单（</w:t>
      </w:r>
      <w:r>
        <w:rPr>
          <w:rFonts w:hint="eastAsia" w:ascii="方正小标宋_GBK" w:hAnsi="方正小标宋_GBK" w:eastAsia="方正小标宋_GBK" w:cs="方正小标宋_GBK"/>
          <w:sz w:val="44"/>
          <w:szCs w:val="44"/>
          <w:lang w:val="en-US" w:eastAsia="zh-CN"/>
        </w:rPr>
        <w:t>2026版</w:t>
      </w:r>
      <w:r>
        <w:rPr>
          <w:rFonts w:hint="eastAsia" w:ascii="方正小标宋_GBK" w:hAnsi="方正小标宋_GBK" w:eastAsia="方正小标宋_GBK" w:cs="方正小标宋_GBK"/>
          <w:sz w:val="44"/>
          <w:szCs w:val="44"/>
        </w:rPr>
        <w:t>）</w:t>
      </w:r>
    </w:p>
    <w:tbl>
      <w:tblPr>
        <w:tblStyle w:val="4"/>
        <w:tblW w:w="15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
        <w:gridCol w:w="920"/>
        <w:gridCol w:w="664"/>
        <w:gridCol w:w="664"/>
        <w:gridCol w:w="1179"/>
        <w:gridCol w:w="4555"/>
        <w:gridCol w:w="923"/>
        <w:gridCol w:w="1035"/>
        <w:gridCol w:w="1416"/>
        <w:gridCol w:w="3351"/>
        <w:gridCol w:w="443"/>
      </w:tblGrid>
      <w:tr w14:paraId="0AAFE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vAlign w:val="center"/>
          </w:tcPr>
          <w:p w14:paraId="0A7BD272">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序号</w:t>
            </w:r>
          </w:p>
        </w:tc>
        <w:tc>
          <w:tcPr>
            <w:tcW w:w="0" w:type="auto"/>
            <w:vMerge w:val="restart"/>
            <w:vAlign w:val="center"/>
          </w:tcPr>
          <w:p w14:paraId="7C0F4BFA">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33D1A566">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事项</w:t>
            </w:r>
          </w:p>
        </w:tc>
        <w:tc>
          <w:tcPr>
            <w:tcW w:w="0" w:type="auto"/>
            <w:vMerge w:val="restart"/>
            <w:vAlign w:val="center"/>
          </w:tcPr>
          <w:p w14:paraId="658233A3">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检查主体</w:t>
            </w:r>
          </w:p>
        </w:tc>
        <w:tc>
          <w:tcPr>
            <w:tcW w:w="0" w:type="auto"/>
            <w:vMerge w:val="restart"/>
            <w:vAlign w:val="center"/>
          </w:tcPr>
          <w:p w14:paraId="105CA439">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检查机构</w:t>
            </w:r>
          </w:p>
        </w:tc>
        <w:tc>
          <w:tcPr>
            <w:tcW w:w="0" w:type="auto"/>
            <w:vMerge w:val="restart"/>
            <w:vAlign w:val="center"/>
          </w:tcPr>
          <w:p w14:paraId="443B4417">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检查对象</w:t>
            </w:r>
          </w:p>
        </w:tc>
        <w:tc>
          <w:tcPr>
            <w:tcW w:w="4555" w:type="dxa"/>
            <w:vMerge w:val="restart"/>
            <w:vAlign w:val="center"/>
          </w:tcPr>
          <w:p w14:paraId="7A82620B">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Times New Roman" w:eastAsia="黑体" w:cs="Calibri"/>
                <w:b w:val="0"/>
                <w:bCs w:val="0"/>
                <w:kern w:val="0"/>
                <w:sz w:val="22"/>
                <w:szCs w:val="22"/>
              </w:rPr>
              <w:t>检查依据</w:t>
            </w:r>
          </w:p>
        </w:tc>
        <w:tc>
          <w:tcPr>
            <w:tcW w:w="0" w:type="auto"/>
            <w:vMerge w:val="restart"/>
            <w:vAlign w:val="center"/>
          </w:tcPr>
          <w:p w14:paraId="2607A661">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0717A687">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方式</w:t>
            </w:r>
          </w:p>
        </w:tc>
        <w:tc>
          <w:tcPr>
            <w:tcW w:w="0" w:type="auto"/>
            <w:vMerge w:val="restart"/>
            <w:vAlign w:val="center"/>
          </w:tcPr>
          <w:p w14:paraId="252EF5D8">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22F2985D">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频次</w:t>
            </w:r>
          </w:p>
          <w:p w14:paraId="7CA3FA3C">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（时间）</w:t>
            </w:r>
          </w:p>
        </w:tc>
        <w:tc>
          <w:tcPr>
            <w:tcW w:w="4767" w:type="dxa"/>
            <w:gridSpan w:val="2"/>
            <w:vAlign w:val="center"/>
          </w:tcPr>
          <w:p w14:paraId="024F1849">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对应的行政权力事项</w:t>
            </w:r>
          </w:p>
        </w:tc>
        <w:tc>
          <w:tcPr>
            <w:tcW w:w="443" w:type="dxa"/>
            <w:vMerge w:val="restart"/>
            <w:vAlign w:val="center"/>
          </w:tcPr>
          <w:p w14:paraId="6DAB6512">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备注</w:t>
            </w:r>
          </w:p>
        </w:tc>
      </w:tr>
      <w:tr w14:paraId="22F2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vAlign w:val="center"/>
          </w:tcPr>
          <w:p w14:paraId="21E94DBC">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6F8243C3">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3BEAF593">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11B00D51">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069C2CAA">
            <w:pPr>
              <w:snapToGrid w:val="0"/>
              <w:ind w:left="0" w:leftChars="0" w:right="0" w:rightChars="0" w:firstLine="0" w:firstLineChars="0"/>
              <w:jc w:val="center"/>
              <w:rPr>
                <w:rFonts w:ascii="Times New Roman" w:hAnsi="Times New Roman" w:eastAsia="黑体" w:cs="Calibri"/>
                <w:b/>
                <w:bCs/>
                <w:kern w:val="0"/>
                <w:sz w:val="22"/>
                <w:szCs w:val="22"/>
              </w:rPr>
            </w:pPr>
          </w:p>
        </w:tc>
        <w:tc>
          <w:tcPr>
            <w:tcW w:w="4555" w:type="dxa"/>
            <w:vMerge w:val="continue"/>
            <w:vAlign w:val="center"/>
          </w:tcPr>
          <w:p w14:paraId="0D70B373">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7F06A083">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Merge w:val="continue"/>
            <w:vAlign w:val="center"/>
          </w:tcPr>
          <w:p w14:paraId="4806A50E">
            <w:pPr>
              <w:snapToGrid w:val="0"/>
              <w:ind w:left="0" w:leftChars="0" w:right="0" w:rightChars="0" w:firstLine="0" w:firstLineChars="0"/>
              <w:jc w:val="center"/>
              <w:rPr>
                <w:rFonts w:ascii="Times New Roman" w:hAnsi="Times New Roman" w:eastAsia="黑体" w:cs="Calibri"/>
                <w:b/>
                <w:bCs/>
                <w:kern w:val="0"/>
                <w:sz w:val="22"/>
                <w:szCs w:val="22"/>
              </w:rPr>
            </w:pPr>
          </w:p>
        </w:tc>
        <w:tc>
          <w:tcPr>
            <w:tcW w:w="0" w:type="auto"/>
            <w:vAlign w:val="center"/>
          </w:tcPr>
          <w:p w14:paraId="666C45ED">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权力编码</w:t>
            </w:r>
          </w:p>
        </w:tc>
        <w:tc>
          <w:tcPr>
            <w:tcW w:w="3351" w:type="dxa"/>
            <w:vAlign w:val="center"/>
          </w:tcPr>
          <w:p w14:paraId="30F92715">
            <w:pPr>
              <w:snapToGrid w:val="0"/>
              <w:ind w:left="0" w:leftChars="0" w:right="0" w:rightChars="0" w:firstLine="0" w:firstLineChars="0"/>
              <w:jc w:val="center"/>
              <w:rPr>
                <w:rFonts w:ascii="Times New Roman" w:hAnsi="Times New Roman" w:eastAsia="黑体" w:cs="Calibri"/>
                <w:b w:val="0"/>
                <w:bCs w:val="0"/>
                <w:kern w:val="0"/>
                <w:sz w:val="22"/>
                <w:szCs w:val="22"/>
              </w:rPr>
            </w:pPr>
            <w:r>
              <w:rPr>
                <w:rFonts w:ascii="Times New Roman" w:hAnsi="黑体" w:eastAsia="黑体" w:cs="Calibri"/>
                <w:b w:val="0"/>
                <w:bCs w:val="0"/>
                <w:kern w:val="0"/>
                <w:sz w:val="22"/>
                <w:szCs w:val="22"/>
              </w:rPr>
              <w:t>权力名称</w:t>
            </w:r>
          </w:p>
        </w:tc>
        <w:tc>
          <w:tcPr>
            <w:tcW w:w="443" w:type="dxa"/>
            <w:vMerge w:val="continue"/>
            <w:vAlign w:val="center"/>
          </w:tcPr>
          <w:p w14:paraId="38B49260">
            <w:pPr>
              <w:snapToGrid w:val="0"/>
              <w:ind w:left="0" w:leftChars="0" w:right="0" w:rightChars="0" w:firstLine="0" w:firstLineChars="0"/>
              <w:jc w:val="center"/>
              <w:rPr>
                <w:rFonts w:ascii="Times New Roman" w:hAnsi="Times New Roman" w:eastAsia="黑体" w:cs="Calibri"/>
                <w:b/>
                <w:bCs/>
                <w:kern w:val="0"/>
                <w:sz w:val="22"/>
                <w:szCs w:val="22"/>
              </w:rPr>
            </w:pPr>
          </w:p>
        </w:tc>
      </w:tr>
      <w:tr w14:paraId="172BF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vAlign w:val="center"/>
          </w:tcPr>
          <w:p w14:paraId="6911C0CA">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w:t>
            </w:r>
          </w:p>
        </w:tc>
        <w:tc>
          <w:tcPr>
            <w:tcW w:w="0" w:type="auto"/>
            <w:vMerge w:val="restart"/>
            <w:shd w:val="clear" w:color="auto" w:fill="auto"/>
            <w:vAlign w:val="center"/>
          </w:tcPr>
          <w:p w14:paraId="3B7A05B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对市政公用基础设施运营相关行为的行政检查</w:t>
            </w:r>
          </w:p>
        </w:tc>
        <w:tc>
          <w:tcPr>
            <w:tcW w:w="0" w:type="auto"/>
            <w:vMerge w:val="restart"/>
            <w:shd w:val="clear" w:color="auto" w:fill="auto"/>
            <w:vAlign w:val="center"/>
          </w:tcPr>
          <w:p w14:paraId="305E9801">
            <w:pPr>
              <w:overflowPunct w:val="0"/>
              <w:autoSpaceDE w:val="0"/>
              <w:autoSpaceDN w:val="0"/>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0" w:type="auto"/>
            <w:vMerge w:val="restart"/>
            <w:shd w:val="clear" w:color="auto" w:fill="auto"/>
            <w:vAlign w:val="center"/>
          </w:tcPr>
          <w:p w14:paraId="1EB3A1F4">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0" w:type="auto"/>
            <w:vMerge w:val="restart"/>
            <w:shd w:val="clear" w:color="auto" w:fill="auto"/>
            <w:vAlign w:val="center"/>
          </w:tcPr>
          <w:p w14:paraId="64FB9D6A">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i w:val="0"/>
                <w:iCs w:val="0"/>
                <w:caps w:val="0"/>
                <w:color w:val="auto"/>
                <w:spacing w:val="0"/>
                <w:sz w:val="20"/>
                <w:szCs w:val="20"/>
                <w:lang w:val="en-US" w:eastAsia="zh-CN"/>
              </w:rPr>
              <w:t>承担城市道路养护、维修的单位，其他相关单位和企业</w:t>
            </w:r>
          </w:p>
        </w:tc>
        <w:tc>
          <w:tcPr>
            <w:tcW w:w="4555" w:type="dxa"/>
            <w:vMerge w:val="restart"/>
            <w:shd w:val="clear" w:color="auto" w:fill="auto"/>
            <w:vAlign w:val="center"/>
          </w:tcPr>
          <w:p w14:paraId="22807D4F">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《苏州市市政设施管理条例》</w:t>
            </w:r>
          </w:p>
          <w:p w14:paraId="6684FBD1">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市政设施行政主管部门负责本行政区域内市政设施的统一监督管理；县级市（区）市政设施行政主管部门按照职责权限对市政设施进行监督管理。规划、建设、公安、环保、交通、水利（水务）、园林和绿化、工商等行政管理部门，以及各类管线所有人或者管理人应当按照各自职责，共同做好市政设施的相关管理工作。市市政设施行政主管部门可以委托市政设施管理机构具体负责相关市政设施的日常管理。</w:t>
            </w:r>
          </w:p>
          <w:p w14:paraId="11144018">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第十三条 市政设施行政主管部门应当定期对市政设施进行巡查、养护。发现损坏、缺失的，应当立即采取安全措施，并及时维修、补缺；属于其他所有人或者管理人的，应当及时告知并督促其维修、补缺。其他所有人或者管理人应当对其管理的市政设施加强巡查、养护，发现损坏、缺失的，应当立即采取安全措施，并及时维修、补缺。</w:t>
            </w:r>
          </w:p>
          <w:p w14:paraId="23FC3A4D">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《苏州市地下管线管理办法》</w:t>
            </w:r>
          </w:p>
          <w:p w14:paraId="4F147775">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市、县级市（区）人民政府（管委会）负责本行政区域内地下管线的统筹管理工作。</w:t>
            </w:r>
          </w:p>
          <w:p w14:paraId="1C4F98A1">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市政设施主管部门负责地下管线日常综合协调、监督管理工作，具体工作可以委托地下管线管理机构承担。</w:t>
            </w:r>
          </w:p>
          <w:p w14:paraId="4C12FF6E">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《苏州市机动车停车场管理办法》</w:t>
            </w:r>
          </w:p>
          <w:p w14:paraId="62F72EB0">
            <w:pPr>
              <w:overflowPunct w:val="0"/>
              <w:autoSpaceDE w:val="0"/>
              <w:autoSpaceDN w:val="0"/>
              <w:snapToGrid w:val="0"/>
              <w:ind w:left="0" w:leftChars="0" w:right="0" w:rightChars="0" w:firstLine="0" w:firstLineChars="0"/>
              <w:jc w:val="left"/>
              <w:rPr>
                <w:rFonts w:hint="eastAsia" w:ascii="仿宋_GB2312" w:hAnsi="仿宋_GB2312" w:eastAsia="仿宋_GB2312" w:cs="仿宋_GB2312"/>
                <w:i w:val="0"/>
                <w:iCs w:val="0"/>
                <w:caps w:val="0"/>
                <w:color w:val="auto"/>
                <w:spacing w:val="0"/>
                <w:sz w:val="20"/>
                <w:szCs w:val="20"/>
                <w:lang w:val="en-US" w:eastAsia="zh-CN"/>
              </w:rPr>
            </w:pPr>
            <w:r>
              <w:rPr>
                <w:rFonts w:hint="eastAsia" w:ascii="仿宋_GB2312" w:hAnsi="仿宋_GB2312" w:eastAsia="仿宋_GB2312" w:cs="仿宋_GB2312"/>
                <w:color w:val="auto"/>
                <w:kern w:val="0"/>
                <w:sz w:val="20"/>
                <w:szCs w:val="20"/>
                <w:lang w:val="en-US" w:eastAsia="zh-CN"/>
              </w:rPr>
              <w:t>第五条第二款 市市政设施行政主管部门是本市机动车停车场管理主管部门，负责机动车停车场管理的综合协调、监督检查等工作，指</w:t>
            </w:r>
            <w:r>
              <w:rPr>
                <w:rFonts w:hint="eastAsia" w:ascii="仿宋_GB2312" w:hAnsi="仿宋_GB2312" w:eastAsia="仿宋_GB2312" w:cs="仿宋_GB2312"/>
                <w:i w:val="0"/>
                <w:iCs w:val="0"/>
                <w:caps w:val="0"/>
                <w:color w:val="auto"/>
                <w:spacing w:val="0"/>
                <w:sz w:val="20"/>
                <w:szCs w:val="20"/>
                <w:lang w:val="en-US" w:eastAsia="zh-CN"/>
              </w:rPr>
              <w:t>导机动车停车场相关行业协会开展工作。</w:t>
            </w:r>
          </w:p>
        </w:tc>
        <w:tc>
          <w:tcPr>
            <w:tcW w:w="0" w:type="auto"/>
            <w:vMerge w:val="restart"/>
            <w:vAlign w:val="center"/>
          </w:tcPr>
          <w:p w14:paraId="1B7004B0">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0" w:type="auto"/>
            <w:vMerge w:val="restart"/>
            <w:vAlign w:val="center"/>
          </w:tcPr>
          <w:p w14:paraId="70004F1A">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0" w:type="auto"/>
            <w:vAlign w:val="center"/>
          </w:tcPr>
          <w:p w14:paraId="5CB6A0D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3202SZ149000</w:t>
            </w:r>
          </w:p>
        </w:tc>
        <w:tc>
          <w:tcPr>
            <w:tcW w:w="3351" w:type="dxa"/>
            <w:vAlign w:val="center"/>
          </w:tcPr>
          <w:p w14:paraId="15DCED74">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对在城市道路管理范围内，堆放易燃易爆、有毒、放射性、刺激性气味、易于飞扬的物品或者废弃物的处罚</w:t>
            </w:r>
          </w:p>
        </w:tc>
        <w:tc>
          <w:tcPr>
            <w:tcW w:w="443" w:type="dxa"/>
            <w:vMerge w:val="restart"/>
            <w:vAlign w:val="center"/>
          </w:tcPr>
          <w:p w14:paraId="4ABEC6C7">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50E6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78F5BA4">
            <w:pPr>
              <w:keepNext w:val="0"/>
              <w:keepLines w:val="0"/>
              <w:widowControl/>
              <w:suppressLineNumbers w:val="0"/>
              <w:snapToGrid w:val="0"/>
              <w:ind w:left="0" w:leftChars="0" w:right="0" w:rightChars="0" w:firstLine="0" w:firstLineChars="0"/>
              <w:jc w:val="center"/>
              <w:textAlignment w:val="center"/>
              <w:rPr>
                <w:rFonts w:ascii="仿宋_GB2312" w:hAnsi="Calibri" w:eastAsia="仿宋_GB2312" w:cs="Calibri"/>
                <w:sz w:val="20"/>
                <w:szCs w:val="22"/>
              </w:rPr>
            </w:pPr>
          </w:p>
        </w:tc>
        <w:tc>
          <w:tcPr>
            <w:tcW w:w="0" w:type="auto"/>
            <w:vMerge w:val="continue"/>
            <w:shd w:val="clear" w:color="auto" w:fill="auto"/>
            <w:vAlign w:val="center"/>
          </w:tcPr>
          <w:p w14:paraId="36D31631">
            <w:pPr>
              <w:keepNext w:val="0"/>
              <w:keepLines w:val="0"/>
              <w:widowControl/>
              <w:suppressLineNumbers w:val="0"/>
              <w:snapToGrid w:val="0"/>
              <w:ind w:left="0" w:leftChars="0" w:right="0" w:rightChars="0" w:firstLine="0" w:firstLineChars="0"/>
              <w:jc w:val="center"/>
              <w:textAlignment w:val="center"/>
              <w:rPr>
                <w:rFonts w:ascii="仿宋_GB2312" w:hAnsi="Calibri" w:eastAsia="仿宋_GB2312" w:cs="Calibri"/>
                <w:sz w:val="20"/>
                <w:szCs w:val="22"/>
              </w:rPr>
            </w:pPr>
          </w:p>
        </w:tc>
        <w:tc>
          <w:tcPr>
            <w:tcW w:w="0" w:type="auto"/>
            <w:vMerge w:val="continue"/>
            <w:shd w:val="clear" w:color="auto" w:fill="auto"/>
            <w:vAlign w:val="center"/>
          </w:tcPr>
          <w:p w14:paraId="3837BAC9">
            <w:pPr>
              <w:keepNext w:val="0"/>
              <w:keepLines w:val="0"/>
              <w:widowControl/>
              <w:suppressLineNumbers w:val="0"/>
              <w:snapToGrid w:val="0"/>
              <w:ind w:left="0" w:leftChars="0" w:right="0" w:rightChars="0" w:firstLine="0" w:firstLineChars="0"/>
              <w:jc w:val="left"/>
              <w:textAlignment w:val="center"/>
              <w:rPr>
                <w:rFonts w:ascii="仿宋_GB2312" w:hAnsi="Calibri" w:eastAsia="仿宋_GB2312" w:cs="Calibri"/>
                <w:sz w:val="20"/>
                <w:szCs w:val="22"/>
              </w:rPr>
            </w:pPr>
          </w:p>
        </w:tc>
        <w:tc>
          <w:tcPr>
            <w:tcW w:w="0" w:type="auto"/>
            <w:vMerge w:val="continue"/>
            <w:shd w:val="clear" w:color="auto" w:fill="auto"/>
            <w:vAlign w:val="center"/>
          </w:tcPr>
          <w:p w14:paraId="60090E6E">
            <w:pPr>
              <w:keepNext w:val="0"/>
              <w:keepLines w:val="0"/>
              <w:widowControl/>
              <w:suppressLineNumbers w:val="0"/>
              <w:snapToGrid w:val="0"/>
              <w:ind w:left="0" w:leftChars="0" w:right="0" w:rightChars="0" w:firstLine="0" w:firstLineChars="0"/>
              <w:jc w:val="center"/>
              <w:textAlignment w:val="center"/>
              <w:rPr>
                <w:rFonts w:ascii="仿宋_GB2312" w:hAnsi="Calibri" w:eastAsia="仿宋_GB2312" w:cs="Calibri"/>
                <w:sz w:val="20"/>
                <w:szCs w:val="22"/>
              </w:rPr>
            </w:pPr>
          </w:p>
        </w:tc>
        <w:tc>
          <w:tcPr>
            <w:tcW w:w="0" w:type="auto"/>
            <w:vMerge w:val="continue"/>
            <w:shd w:val="clear" w:color="auto" w:fill="auto"/>
            <w:vAlign w:val="center"/>
          </w:tcPr>
          <w:p w14:paraId="3EFB3B16">
            <w:pPr>
              <w:keepNext w:val="0"/>
              <w:keepLines w:val="0"/>
              <w:widowControl/>
              <w:suppressLineNumbers w:val="0"/>
              <w:snapToGrid w:val="0"/>
              <w:ind w:left="0" w:leftChars="0" w:right="0" w:rightChars="0" w:firstLine="0" w:firstLineChars="0"/>
              <w:jc w:val="center"/>
              <w:textAlignment w:val="center"/>
              <w:rPr>
                <w:rFonts w:ascii="仿宋_GB2312" w:hAnsi="Calibri" w:eastAsia="仿宋_GB2312" w:cs="Calibri"/>
                <w:sz w:val="20"/>
                <w:szCs w:val="22"/>
              </w:rPr>
            </w:pPr>
          </w:p>
        </w:tc>
        <w:tc>
          <w:tcPr>
            <w:tcW w:w="4555" w:type="dxa"/>
            <w:vMerge w:val="continue"/>
            <w:shd w:val="clear" w:color="auto" w:fill="auto"/>
            <w:vAlign w:val="center"/>
          </w:tcPr>
          <w:p w14:paraId="3C15EE92">
            <w:pPr>
              <w:keepNext w:val="0"/>
              <w:keepLines w:val="0"/>
              <w:widowControl/>
              <w:suppressLineNumbers w:val="0"/>
              <w:snapToGrid w:val="0"/>
              <w:ind w:left="0" w:leftChars="0" w:right="0" w:rightChars="0" w:firstLine="0" w:firstLineChars="0"/>
              <w:jc w:val="left"/>
              <w:textAlignment w:val="center"/>
              <w:rPr>
                <w:rFonts w:ascii="仿宋_GB2312" w:hAnsi="Calibri" w:eastAsia="仿宋_GB2312" w:cs="Calibri"/>
                <w:sz w:val="20"/>
                <w:szCs w:val="22"/>
              </w:rPr>
            </w:pPr>
          </w:p>
        </w:tc>
        <w:tc>
          <w:tcPr>
            <w:tcW w:w="0" w:type="auto"/>
            <w:vMerge w:val="continue"/>
            <w:vAlign w:val="center"/>
          </w:tcPr>
          <w:p w14:paraId="25BF7B86">
            <w:pPr>
              <w:keepNext w:val="0"/>
              <w:keepLines w:val="0"/>
              <w:widowControl/>
              <w:suppressLineNumbers w:val="0"/>
              <w:snapToGrid w:val="0"/>
              <w:ind w:left="0" w:leftChars="0" w:right="0" w:rightChars="0" w:firstLine="0" w:firstLineChars="0"/>
              <w:jc w:val="left"/>
              <w:textAlignment w:val="center"/>
              <w:rPr>
                <w:rFonts w:ascii="仿宋_GB2312" w:hAnsi="Calibri" w:eastAsia="仿宋_GB2312" w:cs="Calibri"/>
                <w:sz w:val="20"/>
                <w:szCs w:val="22"/>
              </w:rPr>
            </w:pPr>
          </w:p>
        </w:tc>
        <w:tc>
          <w:tcPr>
            <w:tcW w:w="0" w:type="auto"/>
            <w:vMerge w:val="continue"/>
            <w:vAlign w:val="center"/>
          </w:tcPr>
          <w:p w14:paraId="526EF2E5">
            <w:pPr>
              <w:keepNext w:val="0"/>
              <w:keepLines w:val="0"/>
              <w:widowControl/>
              <w:suppressLineNumbers w:val="0"/>
              <w:snapToGrid w:val="0"/>
              <w:ind w:left="0" w:leftChars="0" w:right="0" w:rightChars="0" w:firstLine="0" w:firstLineChars="0"/>
              <w:jc w:val="center"/>
              <w:textAlignment w:val="center"/>
              <w:rPr>
                <w:rFonts w:ascii="仿宋_GB2312" w:hAnsi="Calibri" w:eastAsia="仿宋_GB2312" w:cs="Calibri"/>
                <w:sz w:val="20"/>
                <w:szCs w:val="22"/>
              </w:rPr>
            </w:pPr>
          </w:p>
        </w:tc>
        <w:tc>
          <w:tcPr>
            <w:tcW w:w="0" w:type="auto"/>
            <w:vAlign w:val="center"/>
          </w:tcPr>
          <w:p w14:paraId="0B9D7F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3202SZ150000</w:t>
            </w:r>
          </w:p>
        </w:tc>
        <w:tc>
          <w:tcPr>
            <w:tcW w:w="3351" w:type="dxa"/>
            <w:vAlign w:val="center"/>
          </w:tcPr>
          <w:p w14:paraId="1AD1CC89">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对在城市道路管理范围内，封堵或者占用广场和市政留用空地建造永久性建（构）筑物的处罚</w:t>
            </w:r>
          </w:p>
        </w:tc>
        <w:tc>
          <w:tcPr>
            <w:tcW w:w="443" w:type="dxa"/>
            <w:vMerge w:val="continue"/>
            <w:vAlign w:val="center"/>
          </w:tcPr>
          <w:p w14:paraId="296440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B52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F9E916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5A2EEE0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432FB6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6118EF4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4F010C4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4E2016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1DF71D6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05ED76A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3D65B0C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3202SZ151000</w:t>
            </w:r>
          </w:p>
        </w:tc>
        <w:tc>
          <w:tcPr>
            <w:tcW w:w="3351" w:type="dxa"/>
            <w:vAlign w:val="center"/>
          </w:tcPr>
          <w:p w14:paraId="4FDBCAFD">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对在城市道路管理范围内，损毁或者擅自移动窨井盖、边井盖、平侧石、地下管线的地面标志物等设施的处罚</w:t>
            </w:r>
          </w:p>
        </w:tc>
        <w:tc>
          <w:tcPr>
            <w:tcW w:w="443" w:type="dxa"/>
            <w:vMerge w:val="continue"/>
            <w:vAlign w:val="center"/>
          </w:tcPr>
          <w:p w14:paraId="5A3396D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1754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1D0F39B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3B92261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290EDF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1EE797A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7636982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1626D06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48C32B3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07E36A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3D310D5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3202SZ152000</w:t>
            </w:r>
          </w:p>
        </w:tc>
        <w:tc>
          <w:tcPr>
            <w:tcW w:w="3351" w:type="dxa"/>
            <w:vAlign w:val="center"/>
          </w:tcPr>
          <w:p w14:paraId="0AD9D553">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对在城市道路管理范围内，直接在城市道路上搅拌水泥沙浆、混凝土及其他拌合物的处罚</w:t>
            </w:r>
          </w:p>
        </w:tc>
        <w:tc>
          <w:tcPr>
            <w:tcW w:w="443" w:type="dxa"/>
            <w:vMerge w:val="continue"/>
            <w:vAlign w:val="center"/>
          </w:tcPr>
          <w:p w14:paraId="29AFAA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BC2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0" w:type="auto"/>
            <w:vMerge w:val="continue"/>
            <w:vAlign w:val="center"/>
          </w:tcPr>
          <w:p w14:paraId="6D940CD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1298ED6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6D2542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000C6F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1970E1C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16D30F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4BBE50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40A93A2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53CC6F8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3202SZ153000</w:t>
            </w:r>
          </w:p>
        </w:tc>
        <w:tc>
          <w:tcPr>
            <w:tcW w:w="3351" w:type="dxa"/>
            <w:vAlign w:val="center"/>
          </w:tcPr>
          <w:p w14:paraId="00E8FB77">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对在城市道路管理范围内，在路面埋设地锚，进行焊接、切割、破碎金属和抛卸重物、焚烧物品等的处罚</w:t>
            </w:r>
          </w:p>
        </w:tc>
        <w:tc>
          <w:tcPr>
            <w:tcW w:w="443" w:type="dxa"/>
            <w:vMerge w:val="continue"/>
            <w:vAlign w:val="center"/>
          </w:tcPr>
          <w:p w14:paraId="6E4487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FF4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2C7CFBA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5A012C3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003430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29C9888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482A29B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5BEAEC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57273A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6631DD3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7E5662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3202SZ154000</w:t>
            </w:r>
          </w:p>
        </w:tc>
        <w:tc>
          <w:tcPr>
            <w:tcW w:w="3351" w:type="dxa"/>
            <w:vAlign w:val="center"/>
          </w:tcPr>
          <w:p w14:paraId="232F487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对在城市道路管理范围内，擅自在人行道、广场、街头空地上开设车行坡道或者开辟进出通道的处罚</w:t>
            </w:r>
          </w:p>
        </w:tc>
        <w:tc>
          <w:tcPr>
            <w:tcW w:w="443" w:type="dxa"/>
            <w:vMerge w:val="continue"/>
            <w:vAlign w:val="center"/>
          </w:tcPr>
          <w:p w14:paraId="0AB5BFA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064B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0DE0363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0E2AC7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551601F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66F34D2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2169A34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1449A2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12CD5F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1D4C645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00229AA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3202SZ155000</w:t>
            </w:r>
          </w:p>
        </w:tc>
        <w:tc>
          <w:tcPr>
            <w:tcW w:w="3351" w:type="dxa"/>
            <w:vAlign w:val="center"/>
          </w:tcPr>
          <w:p w14:paraId="78CBE1F7">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对在城市道路管理范围内，擅自在人行道、广场、街头空地上停放、冲洗机动车，随意停放非机动车的处罚</w:t>
            </w:r>
          </w:p>
        </w:tc>
        <w:tc>
          <w:tcPr>
            <w:tcW w:w="443" w:type="dxa"/>
            <w:vMerge w:val="continue"/>
            <w:vAlign w:val="center"/>
          </w:tcPr>
          <w:p w14:paraId="2F86FD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2222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47CDEA8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1C2A949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44E9233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53F6570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2F56073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045835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7412FB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54F5D32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4C78185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3202SZ156000</w:t>
            </w:r>
          </w:p>
        </w:tc>
        <w:tc>
          <w:tcPr>
            <w:tcW w:w="3351" w:type="dxa"/>
            <w:vAlign w:val="center"/>
          </w:tcPr>
          <w:p w14:paraId="631FE42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对在城市道路管理范围内，擅自设置广告设施的处罚</w:t>
            </w:r>
          </w:p>
        </w:tc>
        <w:tc>
          <w:tcPr>
            <w:tcW w:w="443" w:type="dxa"/>
            <w:vMerge w:val="continue"/>
            <w:vAlign w:val="center"/>
          </w:tcPr>
          <w:p w14:paraId="5B0339D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815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continue"/>
            <w:vAlign w:val="center"/>
          </w:tcPr>
          <w:p w14:paraId="3F9BCD3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7CCBE1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2A3940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4FC08B9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Merge w:val="continue"/>
            <w:shd w:val="clear" w:color="auto" w:fill="auto"/>
            <w:vAlign w:val="center"/>
          </w:tcPr>
          <w:p w14:paraId="7D382BC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55" w:type="dxa"/>
            <w:vMerge w:val="continue"/>
            <w:shd w:val="clear" w:color="auto" w:fill="auto"/>
            <w:vAlign w:val="center"/>
          </w:tcPr>
          <w:p w14:paraId="11A8FD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239200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0" w:type="auto"/>
            <w:vMerge w:val="continue"/>
            <w:vAlign w:val="center"/>
          </w:tcPr>
          <w:p w14:paraId="0FDD0D2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0" w:type="auto"/>
            <w:vAlign w:val="center"/>
          </w:tcPr>
          <w:p w14:paraId="467C0CA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3202SZ157000</w:t>
            </w:r>
          </w:p>
        </w:tc>
        <w:tc>
          <w:tcPr>
            <w:tcW w:w="3351" w:type="dxa"/>
            <w:vAlign w:val="center"/>
          </w:tcPr>
          <w:p w14:paraId="440A56AD">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对在城市道路管理范围内，其他侵占、损害、污染城市道路的行为的处罚</w:t>
            </w:r>
          </w:p>
        </w:tc>
        <w:tc>
          <w:tcPr>
            <w:tcW w:w="443" w:type="dxa"/>
            <w:vMerge w:val="continue"/>
            <w:vAlign w:val="center"/>
          </w:tcPr>
          <w:p w14:paraId="4E14AC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bl>
    <w:p w14:paraId="6FCB9EC4">
      <w:pPr>
        <w:rPr>
          <w:rFonts w:ascii="Calibri" w:hAnsi="Calibri" w:eastAsia="宋体" w:cs="Calibri"/>
        </w:rPr>
      </w:pPr>
    </w:p>
    <w:tbl>
      <w:tblPr>
        <w:tblStyle w:val="4"/>
        <w:tblW w:w="15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42"/>
        <w:gridCol w:w="638"/>
        <w:gridCol w:w="675"/>
        <w:gridCol w:w="1187"/>
        <w:gridCol w:w="4500"/>
        <w:gridCol w:w="950"/>
        <w:gridCol w:w="1038"/>
        <w:gridCol w:w="1437"/>
        <w:gridCol w:w="3344"/>
        <w:gridCol w:w="444"/>
      </w:tblGrid>
      <w:tr w14:paraId="4E26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6015E054">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序号</w:t>
            </w:r>
          </w:p>
        </w:tc>
        <w:tc>
          <w:tcPr>
            <w:tcW w:w="942" w:type="dxa"/>
            <w:vMerge w:val="restart"/>
            <w:shd w:val="clear" w:color="auto" w:fill="auto"/>
            <w:vAlign w:val="center"/>
          </w:tcPr>
          <w:p w14:paraId="3B4C3ADF">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73441A20">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事项</w:t>
            </w:r>
          </w:p>
        </w:tc>
        <w:tc>
          <w:tcPr>
            <w:tcW w:w="638" w:type="dxa"/>
            <w:vMerge w:val="restart"/>
            <w:shd w:val="clear" w:color="auto" w:fill="auto"/>
            <w:vAlign w:val="center"/>
          </w:tcPr>
          <w:p w14:paraId="629B3467">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检查主体</w:t>
            </w:r>
          </w:p>
        </w:tc>
        <w:tc>
          <w:tcPr>
            <w:tcW w:w="675" w:type="dxa"/>
            <w:vMerge w:val="restart"/>
            <w:shd w:val="clear" w:color="auto" w:fill="auto"/>
            <w:vAlign w:val="center"/>
          </w:tcPr>
          <w:p w14:paraId="0EB992ED">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检查机构</w:t>
            </w:r>
          </w:p>
        </w:tc>
        <w:tc>
          <w:tcPr>
            <w:tcW w:w="1187" w:type="dxa"/>
            <w:vMerge w:val="restart"/>
            <w:shd w:val="clear" w:color="auto" w:fill="auto"/>
            <w:vAlign w:val="center"/>
          </w:tcPr>
          <w:p w14:paraId="0649A67E">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检查对象</w:t>
            </w:r>
          </w:p>
        </w:tc>
        <w:tc>
          <w:tcPr>
            <w:tcW w:w="4500" w:type="dxa"/>
            <w:vMerge w:val="restart"/>
            <w:shd w:val="clear" w:color="auto" w:fill="auto"/>
            <w:vAlign w:val="center"/>
          </w:tcPr>
          <w:p w14:paraId="60538015">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Times New Roman" w:eastAsia="黑体" w:cs="Calibri"/>
                <w:b w:val="0"/>
                <w:bCs w:val="0"/>
                <w:kern w:val="0"/>
                <w:sz w:val="22"/>
                <w:szCs w:val="22"/>
              </w:rPr>
              <w:t>检查依据</w:t>
            </w:r>
          </w:p>
        </w:tc>
        <w:tc>
          <w:tcPr>
            <w:tcW w:w="950" w:type="dxa"/>
            <w:vMerge w:val="restart"/>
            <w:shd w:val="clear" w:color="auto" w:fill="auto"/>
            <w:vAlign w:val="center"/>
          </w:tcPr>
          <w:p w14:paraId="16CB4618">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011A6AE7">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方式</w:t>
            </w:r>
          </w:p>
        </w:tc>
        <w:tc>
          <w:tcPr>
            <w:tcW w:w="1038" w:type="dxa"/>
            <w:vMerge w:val="restart"/>
            <w:shd w:val="clear" w:color="auto" w:fill="auto"/>
            <w:vAlign w:val="center"/>
          </w:tcPr>
          <w:p w14:paraId="2AFDA9BC">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6176AAA3">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频次</w:t>
            </w:r>
          </w:p>
          <w:p w14:paraId="3985ECE7">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（时间）</w:t>
            </w:r>
          </w:p>
        </w:tc>
        <w:tc>
          <w:tcPr>
            <w:tcW w:w="4781" w:type="dxa"/>
            <w:gridSpan w:val="2"/>
            <w:shd w:val="clear" w:color="auto" w:fill="auto"/>
            <w:vAlign w:val="center"/>
          </w:tcPr>
          <w:p w14:paraId="4F5A8FA3">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val="0"/>
                <w:kern w:val="0"/>
                <w:sz w:val="22"/>
                <w:szCs w:val="22"/>
              </w:rPr>
              <w:t>对应的行政权力事项</w:t>
            </w:r>
          </w:p>
        </w:tc>
        <w:tc>
          <w:tcPr>
            <w:tcW w:w="444" w:type="dxa"/>
            <w:vMerge w:val="restart"/>
            <w:vAlign w:val="center"/>
          </w:tcPr>
          <w:p w14:paraId="4C12BC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r>
              <w:rPr>
                <w:rFonts w:ascii="Times New Roman" w:hAnsi="黑体" w:eastAsia="黑体" w:cs="Calibri"/>
                <w:b w:val="0"/>
                <w:bCs w:val="0"/>
                <w:kern w:val="0"/>
                <w:sz w:val="22"/>
                <w:szCs w:val="22"/>
              </w:rPr>
              <w:t>备注</w:t>
            </w:r>
          </w:p>
        </w:tc>
      </w:tr>
      <w:tr w14:paraId="3207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9" w:type="dxa"/>
            <w:vMerge w:val="continue"/>
            <w:vAlign w:val="center"/>
          </w:tcPr>
          <w:p w14:paraId="78B7190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25D3262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73709C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1680CBD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32ED668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7E0624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22A8B78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04B4E7A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3BEF6A64">
            <w:pPr>
              <w:snapToGrid w:val="0"/>
              <w:ind w:left="0" w:leftChars="0" w:right="0" w:rightChars="0" w:firstLine="0" w:firstLineChars="0"/>
              <w:jc w:val="center"/>
              <w:rPr>
                <w:rFonts w:hint="default"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权力编码</w:t>
            </w:r>
          </w:p>
        </w:tc>
        <w:tc>
          <w:tcPr>
            <w:tcW w:w="3344" w:type="dxa"/>
            <w:shd w:val="clear" w:color="auto" w:fill="auto"/>
            <w:vAlign w:val="center"/>
          </w:tcPr>
          <w:p w14:paraId="5E0B6CDC">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权力名称</w:t>
            </w:r>
          </w:p>
        </w:tc>
        <w:tc>
          <w:tcPr>
            <w:tcW w:w="444" w:type="dxa"/>
            <w:vMerge w:val="continue"/>
            <w:vAlign w:val="center"/>
          </w:tcPr>
          <w:p w14:paraId="052F34D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DC9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54C9C3C4">
            <w:pPr>
              <w:snapToGrid w:val="0"/>
              <w:ind w:left="0" w:leftChars="0" w:right="0" w:rightChars="0" w:firstLine="0" w:firstLineChars="0"/>
              <w:jc w:val="center"/>
              <w:rPr>
                <w:rFonts w:hint="eastAsia" w:ascii="Calibri" w:hAnsi="Calibri" w:eastAsia="宋体" w:cs="Calibri"/>
                <w:lang w:val="en-US" w:eastAsia="zh-CN"/>
              </w:rPr>
            </w:pPr>
            <w:r>
              <w:rPr>
                <w:rFonts w:hint="eastAsia" w:ascii="仿宋_GB2312" w:hAnsi="仿宋_GB2312" w:eastAsia="仿宋_GB2312" w:cs="仿宋_GB2312"/>
                <w:color w:val="auto"/>
                <w:kern w:val="0"/>
                <w:sz w:val="20"/>
                <w:szCs w:val="20"/>
                <w:lang w:val="en-US" w:eastAsia="zh-CN"/>
              </w:rPr>
              <w:t>1</w:t>
            </w:r>
          </w:p>
        </w:tc>
        <w:tc>
          <w:tcPr>
            <w:tcW w:w="942" w:type="dxa"/>
            <w:vMerge w:val="restart"/>
            <w:shd w:val="clear" w:color="auto" w:fill="auto"/>
            <w:vAlign w:val="center"/>
          </w:tcPr>
          <w:p w14:paraId="2635F804">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对市政公用基础设施运营相关行为的行政检查</w:t>
            </w:r>
            <w:r>
              <w:rPr>
                <w:rFonts w:hint="eastAsia" w:ascii="仿宋_GB2312" w:hAnsi="仿宋_GB2312" w:eastAsia="仿宋_GB2312" w:cs="仿宋_GB2312"/>
                <w:color w:val="auto"/>
                <w:kern w:val="0"/>
                <w:sz w:val="20"/>
                <w:szCs w:val="20"/>
                <w:lang w:val="en-US" w:eastAsia="zh-CN"/>
              </w:rPr>
              <w:t>（续上页）</w:t>
            </w:r>
          </w:p>
        </w:tc>
        <w:tc>
          <w:tcPr>
            <w:tcW w:w="638" w:type="dxa"/>
            <w:vMerge w:val="restart"/>
            <w:shd w:val="clear" w:color="auto" w:fill="auto"/>
            <w:vAlign w:val="center"/>
          </w:tcPr>
          <w:p w14:paraId="31BCE605">
            <w:pPr>
              <w:overflowPunct w:val="0"/>
              <w:autoSpaceDE w:val="0"/>
              <w:autoSpaceDN w:val="0"/>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675" w:type="dxa"/>
            <w:vMerge w:val="restart"/>
            <w:shd w:val="clear" w:color="auto" w:fill="auto"/>
            <w:vAlign w:val="center"/>
          </w:tcPr>
          <w:p w14:paraId="279AD58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1187" w:type="dxa"/>
            <w:vMerge w:val="restart"/>
            <w:shd w:val="clear" w:color="auto" w:fill="auto"/>
            <w:vAlign w:val="center"/>
          </w:tcPr>
          <w:p w14:paraId="607CC48A">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i w:val="0"/>
                <w:iCs w:val="0"/>
                <w:caps w:val="0"/>
                <w:color w:val="auto"/>
                <w:spacing w:val="0"/>
                <w:sz w:val="20"/>
                <w:szCs w:val="20"/>
                <w:lang w:val="en-US" w:eastAsia="zh-CN"/>
              </w:rPr>
              <w:t>承担城市道路养护、维修的单位，其他相关单位和企业</w:t>
            </w:r>
          </w:p>
        </w:tc>
        <w:tc>
          <w:tcPr>
            <w:tcW w:w="4500" w:type="dxa"/>
            <w:vMerge w:val="restart"/>
            <w:shd w:val="clear" w:color="auto" w:fill="auto"/>
            <w:vAlign w:val="center"/>
          </w:tcPr>
          <w:p w14:paraId="3970D8C6">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《苏州市市政设施管理条例》</w:t>
            </w:r>
          </w:p>
          <w:p w14:paraId="67F3864F">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市政设施行政主管部门负责本行政区域内市政设施的统一监督管理；县级市（区）市政设施行政主管部门按照职责权限对市政设施进行监督管理。规划、建设、公安、环保、交通、水利（水务）、园林和绿化、工商等行政管理部门，以及各类管线所有人或者管理人应当按照各自职责，共同做好市政设施的相关管理工作。市市政设施行政主管部门可以委托市政设施管理机构具体负责相关市政设施的日常管理。</w:t>
            </w:r>
          </w:p>
          <w:p w14:paraId="2AE68D8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第十三条 市政设施行政主管部门应当定期对市政设施进行巡查、养护。发现损坏、缺失的，应当立即采取安全措施，并及时维修、补缺；属于其他所有人或者管理人的，应当及时告知并督促其维修、补缺。其他所有人或者管理人应当对其管理的市政设施加强巡查、养护，发现损坏、缺失的，应当立即采取安全措施，并及时维修、补缺。</w:t>
            </w:r>
          </w:p>
          <w:p w14:paraId="46AEF9EC">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《苏州市地下管线管理办法》</w:t>
            </w:r>
          </w:p>
          <w:p w14:paraId="6DC7E422">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市、县级市（区）人民政府（管委会）负责本行政区域内地下管线的统筹管理工作。</w:t>
            </w:r>
          </w:p>
          <w:p w14:paraId="57A6DCE8">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市政设施主管部门负责地下管线日常综合协调、监督管理工作，具体工作可以委托地下管线管理机构承担。</w:t>
            </w:r>
          </w:p>
          <w:p w14:paraId="588A910F">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《苏州市机动车停车场管理办法》</w:t>
            </w:r>
          </w:p>
          <w:p w14:paraId="4CAFEF0C">
            <w:pPr>
              <w:overflowPunct w:val="0"/>
              <w:autoSpaceDE w:val="0"/>
              <w:autoSpaceDN w:val="0"/>
              <w:snapToGrid w:val="0"/>
              <w:ind w:left="0" w:leftChars="0" w:right="0" w:rightChars="0" w:firstLine="0" w:firstLineChars="0"/>
              <w:jc w:val="left"/>
              <w:rPr>
                <w:rFonts w:hint="eastAsia" w:ascii="仿宋_GB2312" w:hAnsi="仿宋_GB2312" w:eastAsia="仿宋_GB2312" w:cs="仿宋_GB2312"/>
                <w:i w:val="0"/>
                <w:iCs w:val="0"/>
                <w:caps w:val="0"/>
                <w:color w:val="auto"/>
                <w:spacing w:val="0"/>
                <w:kern w:val="2"/>
                <w:sz w:val="20"/>
                <w:szCs w:val="20"/>
                <w:lang w:val="en-US" w:eastAsia="zh-CN" w:bidi="ar-SA"/>
              </w:rPr>
            </w:pPr>
            <w:r>
              <w:rPr>
                <w:rFonts w:hint="eastAsia" w:ascii="仿宋_GB2312" w:hAnsi="仿宋_GB2312" w:eastAsia="仿宋_GB2312" w:cs="仿宋_GB2312"/>
                <w:color w:val="auto"/>
                <w:kern w:val="0"/>
                <w:sz w:val="20"/>
                <w:szCs w:val="20"/>
                <w:lang w:val="en-US" w:eastAsia="zh-CN"/>
              </w:rPr>
              <w:t>第五条第二款 市市政设施行政主管部门是本市机动车停车场管理主管部门，负责机动车停车场管理的综合协调、监督检查等工作，指</w:t>
            </w:r>
            <w:r>
              <w:rPr>
                <w:rFonts w:hint="eastAsia" w:ascii="仿宋_GB2312" w:hAnsi="仿宋_GB2312" w:eastAsia="仿宋_GB2312" w:cs="仿宋_GB2312"/>
                <w:i w:val="0"/>
                <w:iCs w:val="0"/>
                <w:caps w:val="0"/>
                <w:color w:val="auto"/>
                <w:spacing w:val="0"/>
                <w:sz w:val="20"/>
                <w:szCs w:val="20"/>
                <w:lang w:val="en-US" w:eastAsia="zh-CN"/>
              </w:rPr>
              <w:t>导机动车停车场相关行业协会开展工作。</w:t>
            </w:r>
          </w:p>
        </w:tc>
        <w:tc>
          <w:tcPr>
            <w:tcW w:w="950" w:type="dxa"/>
            <w:vMerge w:val="restart"/>
            <w:shd w:val="clear" w:color="auto" w:fill="auto"/>
            <w:vAlign w:val="center"/>
          </w:tcPr>
          <w:p w14:paraId="0B9C0634">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现场检查、书面检查、网络检查</w:t>
            </w:r>
          </w:p>
        </w:tc>
        <w:tc>
          <w:tcPr>
            <w:tcW w:w="1038" w:type="dxa"/>
            <w:vMerge w:val="restart"/>
            <w:shd w:val="clear" w:color="auto" w:fill="auto"/>
            <w:vAlign w:val="center"/>
          </w:tcPr>
          <w:p w14:paraId="67A500A2">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1437" w:type="dxa"/>
            <w:vAlign w:val="center"/>
          </w:tcPr>
          <w:p w14:paraId="4A4666E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3202SZ158000</w:t>
            </w:r>
          </w:p>
        </w:tc>
        <w:tc>
          <w:tcPr>
            <w:tcW w:w="3344" w:type="dxa"/>
            <w:vAlign w:val="center"/>
          </w:tcPr>
          <w:p w14:paraId="3F6A8C30">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对在城市桥涵安全保护区域，在桥面上停车（交通管制等特殊情况除外）、试刹车的处罚</w:t>
            </w:r>
          </w:p>
        </w:tc>
        <w:tc>
          <w:tcPr>
            <w:tcW w:w="444" w:type="dxa"/>
            <w:vMerge w:val="restart"/>
            <w:vAlign w:val="center"/>
          </w:tcPr>
          <w:p w14:paraId="2D2EE7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C48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4F3F7CE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57D7664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53F923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09EAF0A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3773C66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50EBFD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6FE493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0D07D4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2DC9894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3202SZ159000</w:t>
            </w:r>
          </w:p>
        </w:tc>
        <w:tc>
          <w:tcPr>
            <w:tcW w:w="3344" w:type="dxa"/>
            <w:vAlign w:val="center"/>
          </w:tcPr>
          <w:p w14:paraId="07D1C8E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对在城市桥涵安全保护区域，利用桥涵设施进行牵拉、吊装，在桥涵范围内燃放烟花爆竹和明火作业的处罚</w:t>
            </w:r>
          </w:p>
        </w:tc>
        <w:tc>
          <w:tcPr>
            <w:tcW w:w="444" w:type="dxa"/>
            <w:vMerge w:val="continue"/>
            <w:vAlign w:val="center"/>
          </w:tcPr>
          <w:p w14:paraId="56272D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51B8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341B2B7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28C5FAD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21A790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176328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7D83A9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29340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605F5B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7AA2C4A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103AEE9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3202SZ160000</w:t>
            </w:r>
          </w:p>
        </w:tc>
        <w:tc>
          <w:tcPr>
            <w:tcW w:w="3344" w:type="dxa"/>
            <w:vAlign w:val="center"/>
          </w:tcPr>
          <w:p w14:paraId="5D9D062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对在城市桥涵安全保护区域，擅自设置广告、声屏障等设施的处罚</w:t>
            </w:r>
          </w:p>
        </w:tc>
        <w:tc>
          <w:tcPr>
            <w:tcW w:w="444" w:type="dxa"/>
            <w:vMerge w:val="continue"/>
            <w:vAlign w:val="center"/>
          </w:tcPr>
          <w:p w14:paraId="168DB1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2635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2EA0E11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C0928D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1B827A2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5D4876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7A3F42D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7C0D62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93319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4CDD059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21A44E6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3202SZ161000</w:t>
            </w:r>
          </w:p>
        </w:tc>
        <w:tc>
          <w:tcPr>
            <w:tcW w:w="3344" w:type="dxa"/>
            <w:vAlign w:val="center"/>
          </w:tcPr>
          <w:p w14:paraId="419C4F4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对在城市桥涵安全保护区域，破坏、增设、变更或者移动桥涵的附属设施的处罚</w:t>
            </w:r>
          </w:p>
        </w:tc>
        <w:tc>
          <w:tcPr>
            <w:tcW w:w="444" w:type="dxa"/>
            <w:vMerge w:val="continue"/>
            <w:vAlign w:val="center"/>
          </w:tcPr>
          <w:p w14:paraId="4D45BCF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8E3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1314FC9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38F4C3C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524CA6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46BD687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A71DF5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61033E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544A25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7BF137B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0D7923C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3202SZ162000</w:t>
            </w:r>
          </w:p>
        </w:tc>
        <w:tc>
          <w:tcPr>
            <w:tcW w:w="3344" w:type="dxa"/>
            <w:vAlign w:val="center"/>
          </w:tcPr>
          <w:p w14:paraId="383FAA3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对在城市桥涵安全保护区域，设摊经营、违章搭建建（构）筑物的处罚</w:t>
            </w:r>
          </w:p>
        </w:tc>
        <w:tc>
          <w:tcPr>
            <w:tcW w:w="444" w:type="dxa"/>
            <w:vMerge w:val="continue"/>
            <w:vAlign w:val="center"/>
          </w:tcPr>
          <w:p w14:paraId="418B8F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101E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64E4717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7B0CF5B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74CE56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3EF3C5A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1AAD0A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5C6AD1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239A8A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2A647EC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47EDEB3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3202SZ163000</w:t>
            </w:r>
          </w:p>
        </w:tc>
        <w:tc>
          <w:tcPr>
            <w:tcW w:w="3344" w:type="dxa"/>
            <w:vAlign w:val="center"/>
          </w:tcPr>
          <w:p w14:paraId="189E0404">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对在城市桥涵安全保护区域，在桥涵引道、边坡挖坑取土，倾倒垃圾等废弃物的处罚</w:t>
            </w:r>
          </w:p>
        </w:tc>
        <w:tc>
          <w:tcPr>
            <w:tcW w:w="444" w:type="dxa"/>
            <w:vMerge w:val="continue"/>
            <w:vAlign w:val="center"/>
          </w:tcPr>
          <w:p w14:paraId="591185C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0F5E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359BDFF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0FA260C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E97F1EA">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AE4A07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55A77245">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4D043A74">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66AF11BE">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3E5677F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6BC9B6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3202SZ164000</w:t>
            </w:r>
          </w:p>
        </w:tc>
        <w:tc>
          <w:tcPr>
            <w:tcW w:w="3344" w:type="dxa"/>
            <w:vAlign w:val="center"/>
          </w:tcPr>
          <w:p w14:paraId="7CF27F4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对在城市桥涵安全保护区域，未采取安全保护措施，从事河道疏浚、河道挖掘、建筑打桩、地下管道顶进、爆破等作业的处罚</w:t>
            </w:r>
          </w:p>
        </w:tc>
        <w:tc>
          <w:tcPr>
            <w:tcW w:w="444" w:type="dxa"/>
            <w:vAlign w:val="center"/>
          </w:tcPr>
          <w:p w14:paraId="4A6635B1">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4032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622B4BC9">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73482B43">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751B2609">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28F4D88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7F2D8783">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3FD01E4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62D62D39">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4C83168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1FF8BC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3202SZ165000</w:t>
            </w:r>
          </w:p>
        </w:tc>
        <w:tc>
          <w:tcPr>
            <w:tcW w:w="3344" w:type="dxa"/>
            <w:vAlign w:val="center"/>
          </w:tcPr>
          <w:p w14:paraId="53182A26">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对在城市桥涵安全保护区域，其他损害、侵占、盗窃桥涵设施的行为的处罚</w:t>
            </w:r>
          </w:p>
        </w:tc>
        <w:tc>
          <w:tcPr>
            <w:tcW w:w="444" w:type="dxa"/>
            <w:vAlign w:val="center"/>
          </w:tcPr>
          <w:p w14:paraId="37050E24">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1B8B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739CE0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3E8875D0">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602FE3C8">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2EE90F80">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14187E09">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2EE5B4E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5A782671">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1C27B2D0">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66AA79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3202SZ166000</w:t>
            </w:r>
          </w:p>
        </w:tc>
        <w:tc>
          <w:tcPr>
            <w:tcW w:w="3344" w:type="dxa"/>
            <w:vAlign w:val="center"/>
          </w:tcPr>
          <w:p w14:paraId="1FC6CC89">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对擅自在城市照明设施周围挖坑取土、堆放物品、修建建（构）筑物的处罚</w:t>
            </w:r>
          </w:p>
        </w:tc>
        <w:tc>
          <w:tcPr>
            <w:tcW w:w="444" w:type="dxa"/>
            <w:vAlign w:val="center"/>
          </w:tcPr>
          <w:p w14:paraId="2FFAA4B0">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6469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ED35365">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6C976C1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5819B035">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5A17C5F9">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04FDCF28">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7CEADDA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7AE4C742">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45F9E926">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3D483EF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3202SZ167000</w:t>
            </w:r>
          </w:p>
        </w:tc>
        <w:tc>
          <w:tcPr>
            <w:tcW w:w="3344" w:type="dxa"/>
            <w:vAlign w:val="center"/>
          </w:tcPr>
          <w:p w14:paraId="4F861700">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对其他损害城市照明设施的行为的处罚</w:t>
            </w:r>
          </w:p>
        </w:tc>
        <w:tc>
          <w:tcPr>
            <w:tcW w:w="444" w:type="dxa"/>
            <w:vAlign w:val="center"/>
          </w:tcPr>
          <w:p w14:paraId="29A46C3E">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bl>
    <w:p w14:paraId="78581073">
      <w:pPr>
        <w:rPr>
          <w:rFonts w:ascii="Calibri" w:hAnsi="Calibri" w:eastAsia="宋体" w:cs="Calibri"/>
        </w:rPr>
      </w:pPr>
      <w:r>
        <w:rPr>
          <w:rFonts w:ascii="Calibri" w:hAnsi="Calibri" w:eastAsia="宋体" w:cs="Calibri"/>
        </w:rPr>
        <w:br w:type="page"/>
      </w:r>
    </w:p>
    <w:tbl>
      <w:tblPr>
        <w:tblStyle w:val="4"/>
        <w:tblW w:w="15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42"/>
        <w:gridCol w:w="638"/>
        <w:gridCol w:w="675"/>
        <w:gridCol w:w="1187"/>
        <w:gridCol w:w="4500"/>
        <w:gridCol w:w="950"/>
        <w:gridCol w:w="1038"/>
        <w:gridCol w:w="1437"/>
        <w:gridCol w:w="3488"/>
        <w:gridCol w:w="387"/>
      </w:tblGrid>
      <w:tr w14:paraId="02D4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68F2CDC0">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序号</w:t>
            </w:r>
          </w:p>
        </w:tc>
        <w:tc>
          <w:tcPr>
            <w:tcW w:w="942" w:type="dxa"/>
            <w:vMerge w:val="restart"/>
            <w:shd w:val="clear" w:color="auto" w:fill="auto"/>
            <w:vAlign w:val="center"/>
          </w:tcPr>
          <w:p w14:paraId="7C629C8C">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44020FF7">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事项</w:t>
            </w:r>
          </w:p>
        </w:tc>
        <w:tc>
          <w:tcPr>
            <w:tcW w:w="638" w:type="dxa"/>
            <w:vMerge w:val="restart"/>
            <w:shd w:val="clear" w:color="auto" w:fill="auto"/>
            <w:vAlign w:val="center"/>
          </w:tcPr>
          <w:p w14:paraId="709507F4">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检查主体</w:t>
            </w:r>
          </w:p>
        </w:tc>
        <w:tc>
          <w:tcPr>
            <w:tcW w:w="675" w:type="dxa"/>
            <w:vMerge w:val="restart"/>
            <w:shd w:val="clear" w:color="auto" w:fill="auto"/>
            <w:vAlign w:val="center"/>
          </w:tcPr>
          <w:p w14:paraId="321A1569">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检查机构</w:t>
            </w:r>
          </w:p>
        </w:tc>
        <w:tc>
          <w:tcPr>
            <w:tcW w:w="1187" w:type="dxa"/>
            <w:vMerge w:val="restart"/>
            <w:shd w:val="clear" w:color="auto" w:fill="auto"/>
            <w:vAlign w:val="center"/>
          </w:tcPr>
          <w:p w14:paraId="22962FB6">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检查对象</w:t>
            </w:r>
          </w:p>
        </w:tc>
        <w:tc>
          <w:tcPr>
            <w:tcW w:w="4500" w:type="dxa"/>
            <w:vMerge w:val="restart"/>
            <w:shd w:val="clear" w:color="auto" w:fill="auto"/>
            <w:vAlign w:val="center"/>
          </w:tcPr>
          <w:p w14:paraId="32704B67">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Times New Roman" w:eastAsia="黑体" w:cs="Calibri"/>
                <w:b w:val="0"/>
                <w:bCs w:val="0"/>
                <w:kern w:val="0"/>
                <w:sz w:val="22"/>
                <w:szCs w:val="22"/>
              </w:rPr>
              <w:t>检查依据</w:t>
            </w:r>
          </w:p>
        </w:tc>
        <w:tc>
          <w:tcPr>
            <w:tcW w:w="950" w:type="dxa"/>
            <w:vMerge w:val="restart"/>
            <w:shd w:val="clear" w:color="auto" w:fill="auto"/>
            <w:vAlign w:val="center"/>
          </w:tcPr>
          <w:p w14:paraId="510D897B">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44F66A41">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方式</w:t>
            </w:r>
          </w:p>
        </w:tc>
        <w:tc>
          <w:tcPr>
            <w:tcW w:w="1038" w:type="dxa"/>
            <w:vMerge w:val="restart"/>
            <w:shd w:val="clear" w:color="auto" w:fill="auto"/>
            <w:vAlign w:val="center"/>
          </w:tcPr>
          <w:p w14:paraId="72F5BADB">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261CA521">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频次</w:t>
            </w:r>
          </w:p>
          <w:p w14:paraId="3E045ADD">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（时间）</w:t>
            </w:r>
          </w:p>
        </w:tc>
        <w:tc>
          <w:tcPr>
            <w:tcW w:w="4925" w:type="dxa"/>
            <w:gridSpan w:val="2"/>
            <w:shd w:val="clear" w:color="auto" w:fill="auto"/>
            <w:vAlign w:val="center"/>
          </w:tcPr>
          <w:p w14:paraId="7A279E3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val="0"/>
                <w:kern w:val="0"/>
                <w:sz w:val="22"/>
                <w:szCs w:val="22"/>
              </w:rPr>
              <w:t>对应的行政权力事项</w:t>
            </w:r>
          </w:p>
        </w:tc>
        <w:tc>
          <w:tcPr>
            <w:tcW w:w="387" w:type="dxa"/>
            <w:vMerge w:val="restart"/>
            <w:vAlign w:val="center"/>
          </w:tcPr>
          <w:p w14:paraId="305896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r>
              <w:rPr>
                <w:rFonts w:ascii="Times New Roman" w:hAnsi="黑体" w:eastAsia="黑体" w:cs="Calibri"/>
                <w:b w:val="0"/>
                <w:bCs w:val="0"/>
                <w:kern w:val="0"/>
                <w:sz w:val="22"/>
                <w:szCs w:val="22"/>
              </w:rPr>
              <w:t>备注</w:t>
            </w:r>
          </w:p>
        </w:tc>
      </w:tr>
      <w:tr w14:paraId="4D24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459" w:type="dxa"/>
            <w:vMerge w:val="continue"/>
            <w:vAlign w:val="center"/>
          </w:tcPr>
          <w:p w14:paraId="1D14711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7D505B8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3CC5756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63F911E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4DDC6B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25B26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700FE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2A4D408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13FC29B7">
            <w:pPr>
              <w:snapToGrid w:val="0"/>
              <w:ind w:left="0" w:leftChars="0" w:right="0" w:rightChars="0" w:firstLine="0" w:firstLineChars="0"/>
              <w:jc w:val="center"/>
              <w:rPr>
                <w:rFonts w:hint="default"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权力编码</w:t>
            </w:r>
          </w:p>
        </w:tc>
        <w:tc>
          <w:tcPr>
            <w:tcW w:w="3488" w:type="dxa"/>
            <w:shd w:val="clear" w:color="auto" w:fill="auto"/>
            <w:vAlign w:val="center"/>
          </w:tcPr>
          <w:p w14:paraId="3573D3BC">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权力名称</w:t>
            </w:r>
          </w:p>
        </w:tc>
        <w:tc>
          <w:tcPr>
            <w:tcW w:w="387" w:type="dxa"/>
            <w:vMerge w:val="continue"/>
            <w:vAlign w:val="center"/>
          </w:tcPr>
          <w:p w14:paraId="71F8E3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FDE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61EC7C6A">
            <w:pPr>
              <w:snapToGrid w:val="0"/>
              <w:ind w:left="0" w:leftChars="0" w:right="0" w:rightChars="0" w:firstLine="0" w:firstLineChars="0"/>
              <w:jc w:val="center"/>
              <w:rPr>
                <w:rFonts w:hint="eastAsia" w:ascii="Calibri" w:hAnsi="Calibri" w:eastAsia="宋体" w:cs="Calibri"/>
                <w:lang w:val="en-US" w:eastAsia="zh-CN"/>
              </w:rPr>
            </w:pPr>
            <w:r>
              <w:rPr>
                <w:rFonts w:hint="eastAsia" w:ascii="仿宋_GB2312" w:hAnsi="仿宋_GB2312" w:eastAsia="仿宋_GB2312" w:cs="仿宋_GB2312"/>
                <w:color w:val="auto"/>
                <w:kern w:val="0"/>
                <w:sz w:val="20"/>
                <w:szCs w:val="20"/>
                <w:lang w:val="en-US" w:eastAsia="zh-CN"/>
              </w:rPr>
              <w:t>1</w:t>
            </w:r>
          </w:p>
        </w:tc>
        <w:tc>
          <w:tcPr>
            <w:tcW w:w="942" w:type="dxa"/>
            <w:vMerge w:val="restart"/>
            <w:shd w:val="clear" w:color="auto" w:fill="auto"/>
            <w:vAlign w:val="center"/>
          </w:tcPr>
          <w:p w14:paraId="6EA691A4">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对市政公用基础设施运营相关行为的行政检查</w:t>
            </w:r>
            <w:r>
              <w:rPr>
                <w:rFonts w:hint="eastAsia" w:ascii="仿宋_GB2312" w:hAnsi="仿宋_GB2312" w:eastAsia="仿宋_GB2312" w:cs="仿宋_GB2312"/>
                <w:color w:val="auto"/>
                <w:kern w:val="0"/>
                <w:sz w:val="20"/>
                <w:szCs w:val="20"/>
                <w:lang w:val="en-US" w:eastAsia="zh-CN"/>
              </w:rPr>
              <w:t>（续上页）</w:t>
            </w:r>
          </w:p>
        </w:tc>
        <w:tc>
          <w:tcPr>
            <w:tcW w:w="638" w:type="dxa"/>
            <w:vMerge w:val="restart"/>
            <w:shd w:val="clear" w:color="auto" w:fill="auto"/>
            <w:vAlign w:val="center"/>
          </w:tcPr>
          <w:p w14:paraId="29A02E60">
            <w:pPr>
              <w:overflowPunct w:val="0"/>
              <w:autoSpaceDE w:val="0"/>
              <w:autoSpaceDN w:val="0"/>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675" w:type="dxa"/>
            <w:vMerge w:val="restart"/>
            <w:shd w:val="clear" w:color="auto" w:fill="auto"/>
            <w:vAlign w:val="center"/>
          </w:tcPr>
          <w:p w14:paraId="42BDC27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1187" w:type="dxa"/>
            <w:vMerge w:val="restart"/>
            <w:shd w:val="clear" w:color="auto" w:fill="auto"/>
            <w:vAlign w:val="center"/>
          </w:tcPr>
          <w:p w14:paraId="6705FF58">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i w:val="0"/>
                <w:iCs w:val="0"/>
                <w:caps w:val="0"/>
                <w:color w:val="auto"/>
                <w:spacing w:val="0"/>
                <w:sz w:val="20"/>
                <w:szCs w:val="20"/>
                <w:lang w:val="en-US" w:eastAsia="zh-CN"/>
              </w:rPr>
              <w:t>承担城市道路养护、维修的单位，其他相关单位和企业</w:t>
            </w:r>
          </w:p>
        </w:tc>
        <w:tc>
          <w:tcPr>
            <w:tcW w:w="4500" w:type="dxa"/>
            <w:vMerge w:val="restart"/>
            <w:shd w:val="clear" w:color="auto" w:fill="auto"/>
            <w:vAlign w:val="center"/>
          </w:tcPr>
          <w:p w14:paraId="1E4BAE9B">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《苏州市市政设施管理条例》</w:t>
            </w:r>
          </w:p>
          <w:p w14:paraId="7F7608E9">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市政设施行政主管部门负责本行政区域内市政设施的统一监督管理；县级市（区）市政设施行政主管部门按照职责权限对市政设施进行监督管理。规划、建设、公安、环保、交通、水利（水务）、园林和绿化、工商等行政管理部门，以及各类管线所有人或者管理人应当按照各自职责，共同做好市政设施的相关管理工作。市市政设施行政主管部门可以委托市政设施管理机构具体负责相关市政设施的日常管理。</w:t>
            </w:r>
          </w:p>
          <w:p w14:paraId="440CA789">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第十三条 市政设施行政主管部门应当定期对市政设施进行巡查、养护。发现损坏、缺失的，应当立即采取安全措施，并及时维修、补缺；属于其他所有人或者管理人的，应当及时告知并督促其维修、补缺。其他所有人或者管理人应当对其管理的市政设施加强巡查、养护，发现损坏、缺失的，应当立即采取安全措施，并及时维修、补缺。</w:t>
            </w:r>
          </w:p>
          <w:p w14:paraId="076C0ADE">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《苏州市地下管线管理办法》</w:t>
            </w:r>
          </w:p>
          <w:p w14:paraId="5102732B">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市、县级市（区）人民政府（管委会）负责本行政区域内地下管线的统筹管理工作。</w:t>
            </w:r>
          </w:p>
          <w:p w14:paraId="1008675D">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市政设施主管部门负责地下管线日常综合协调、监督管理工作，具体工作可以委托地下管线管理机构承担。</w:t>
            </w:r>
          </w:p>
          <w:p w14:paraId="39F12DC7">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《苏州市机动车停车场管理办法》</w:t>
            </w:r>
          </w:p>
          <w:p w14:paraId="1977F287">
            <w:pPr>
              <w:overflowPunct w:val="0"/>
              <w:autoSpaceDE w:val="0"/>
              <w:autoSpaceDN w:val="0"/>
              <w:snapToGrid w:val="0"/>
              <w:ind w:left="0" w:leftChars="0" w:right="0" w:rightChars="0" w:firstLine="0" w:firstLineChars="0"/>
              <w:jc w:val="left"/>
              <w:rPr>
                <w:rFonts w:hint="eastAsia" w:ascii="仿宋_GB2312" w:hAnsi="仿宋_GB2312" w:eastAsia="仿宋_GB2312" w:cs="仿宋_GB2312"/>
                <w:i w:val="0"/>
                <w:iCs w:val="0"/>
                <w:caps w:val="0"/>
                <w:color w:val="auto"/>
                <w:spacing w:val="0"/>
                <w:kern w:val="2"/>
                <w:sz w:val="20"/>
                <w:szCs w:val="20"/>
                <w:lang w:val="en-US" w:eastAsia="zh-CN" w:bidi="ar-SA"/>
              </w:rPr>
            </w:pPr>
            <w:r>
              <w:rPr>
                <w:rFonts w:hint="eastAsia" w:ascii="仿宋_GB2312" w:hAnsi="仿宋_GB2312" w:eastAsia="仿宋_GB2312" w:cs="仿宋_GB2312"/>
                <w:color w:val="auto"/>
                <w:kern w:val="0"/>
                <w:sz w:val="20"/>
                <w:szCs w:val="20"/>
                <w:lang w:val="en-US" w:eastAsia="zh-CN"/>
              </w:rPr>
              <w:t>第五条第二款 市市政设施行政主管部门是本市机动车停车场管理主管部门，负责机动车停车场管理的综合协调、监督检查等工作，指</w:t>
            </w:r>
            <w:r>
              <w:rPr>
                <w:rFonts w:hint="eastAsia" w:ascii="仿宋_GB2312" w:hAnsi="仿宋_GB2312" w:eastAsia="仿宋_GB2312" w:cs="仿宋_GB2312"/>
                <w:i w:val="0"/>
                <w:iCs w:val="0"/>
                <w:caps w:val="0"/>
                <w:color w:val="auto"/>
                <w:spacing w:val="0"/>
                <w:sz w:val="20"/>
                <w:szCs w:val="20"/>
                <w:lang w:val="en-US" w:eastAsia="zh-CN"/>
              </w:rPr>
              <w:t>导机动车停车场相关行业协会开展工作。</w:t>
            </w:r>
          </w:p>
        </w:tc>
        <w:tc>
          <w:tcPr>
            <w:tcW w:w="950" w:type="dxa"/>
            <w:vMerge w:val="restart"/>
            <w:shd w:val="clear" w:color="auto" w:fill="auto"/>
            <w:vAlign w:val="center"/>
          </w:tcPr>
          <w:p w14:paraId="38AD7039">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现场检查、书面检查、网络检查</w:t>
            </w:r>
          </w:p>
        </w:tc>
        <w:tc>
          <w:tcPr>
            <w:tcW w:w="1038" w:type="dxa"/>
            <w:vMerge w:val="restart"/>
            <w:shd w:val="clear" w:color="auto" w:fill="auto"/>
            <w:vAlign w:val="center"/>
          </w:tcPr>
          <w:p w14:paraId="03E09B8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1437" w:type="dxa"/>
            <w:vAlign w:val="center"/>
          </w:tcPr>
          <w:p w14:paraId="593938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3202SZ169000</w:t>
            </w:r>
          </w:p>
        </w:tc>
        <w:tc>
          <w:tcPr>
            <w:tcW w:w="3488" w:type="dxa"/>
            <w:vAlign w:val="center"/>
          </w:tcPr>
          <w:p w14:paraId="69EB557C">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对占用城市道路未采取防护措施，并悬挂《临时占用道路许可证》的；占用期满未向发证部门申请查验后注销《临时占用道路许可证》的；占用期限超过三个月未办理延续手续的处罚</w:t>
            </w:r>
          </w:p>
        </w:tc>
        <w:tc>
          <w:tcPr>
            <w:tcW w:w="387" w:type="dxa"/>
            <w:vMerge w:val="restart"/>
            <w:vAlign w:val="center"/>
          </w:tcPr>
          <w:p w14:paraId="03F6CB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3621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692974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686679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505549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52663A6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EBF07B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4B5FE5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59211E3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76D6BF1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472BD16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3202SZ170000</w:t>
            </w:r>
          </w:p>
        </w:tc>
        <w:tc>
          <w:tcPr>
            <w:tcW w:w="3488" w:type="dxa"/>
            <w:vAlign w:val="center"/>
          </w:tcPr>
          <w:p w14:paraId="39FB9B04">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对未经批准擅自在建成后的城市道路上开设道口的处罚</w:t>
            </w:r>
          </w:p>
        </w:tc>
        <w:tc>
          <w:tcPr>
            <w:tcW w:w="387" w:type="dxa"/>
            <w:vMerge w:val="continue"/>
            <w:vAlign w:val="center"/>
          </w:tcPr>
          <w:p w14:paraId="465FE3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FE6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1B2431E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01A259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5D6DF2F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4E3F23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17E1995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2AFC39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3D3857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1A0680D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11EB357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3202SZ171000</w:t>
            </w:r>
          </w:p>
        </w:tc>
        <w:tc>
          <w:tcPr>
            <w:tcW w:w="3488" w:type="dxa"/>
            <w:vAlign w:val="center"/>
          </w:tcPr>
          <w:p w14:paraId="7367A9BA">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对在挖掘施工开工前未查明现有地下管线的埋设情况的处罚</w:t>
            </w:r>
          </w:p>
        </w:tc>
        <w:tc>
          <w:tcPr>
            <w:tcW w:w="387" w:type="dxa"/>
            <w:vMerge w:val="continue"/>
            <w:vAlign w:val="center"/>
          </w:tcPr>
          <w:p w14:paraId="7426F0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232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357D0C8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505DC1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75B226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54B67D3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6412C61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E604AB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5CEF931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4C82EDD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5CFC29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3202SZ172000</w:t>
            </w:r>
          </w:p>
        </w:tc>
        <w:tc>
          <w:tcPr>
            <w:tcW w:w="3488" w:type="dxa"/>
            <w:vAlign w:val="center"/>
          </w:tcPr>
          <w:p w14:paraId="7B15302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对未在挖掘现场悬挂《挖掘道路许可证》的；未按《挖掘道路许可证》挖掘城市道路的处罚</w:t>
            </w:r>
          </w:p>
        </w:tc>
        <w:tc>
          <w:tcPr>
            <w:tcW w:w="387" w:type="dxa"/>
            <w:vMerge w:val="continue"/>
            <w:vAlign w:val="center"/>
          </w:tcPr>
          <w:p w14:paraId="276E96C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3E9E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61CAA2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09F1B1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3DBEE9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2308FE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AA659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40C086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2AF2D84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26E010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6E2EB7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3202SZ173000</w:t>
            </w:r>
          </w:p>
        </w:tc>
        <w:tc>
          <w:tcPr>
            <w:tcW w:w="3488" w:type="dxa"/>
            <w:vAlign w:val="center"/>
          </w:tcPr>
          <w:p w14:paraId="66B4D2EF">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对在挖掘现场未设置明显的安全警示标志和围栏等安全防护设施的处罚</w:t>
            </w:r>
          </w:p>
        </w:tc>
        <w:tc>
          <w:tcPr>
            <w:tcW w:w="387" w:type="dxa"/>
            <w:vMerge w:val="continue"/>
            <w:vAlign w:val="center"/>
          </w:tcPr>
          <w:p w14:paraId="0D5F9FE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290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688F8AB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05E863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10CB5B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0CAB02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3C0FDBB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5D66235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1FE94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6AB4100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6491A36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3202SZ174000</w:t>
            </w:r>
          </w:p>
        </w:tc>
        <w:tc>
          <w:tcPr>
            <w:tcW w:w="3488" w:type="dxa"/>
            <w:vAlign w:val="center"/>
          </w:tcPr>
          <w:p w14:paraId="2D8FC22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对未在夜间或者交通空闲的时间进行横穿主干道的挖掘施工的处罚</w:t>
            </w:r>
          </w:p>
        </w:tc>
        <w:tc>
          <w:tcPr>
            <w:tcW w:w="387" w:type="dxa"/>
            <w:vMerge w:val="continue"/>
            <w:vAlign w:val="center"/>
          </w:tcPr>
          <w:p w14:paraId="0FC3FA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55824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80BFD9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623A44F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214E938C">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9A2D155">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5458B4EB">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58A58798">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6685986F">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45049EE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73CA06C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3202SZ175000</w:t>
            </w:r>
          </w:p>
        </w:tc>
        <w:tc>
          <w:tcPr>
            <w:tcW w:w="3488" w:type="dxa"/>
            <w:vAlign w:val="center"/>
          </w:tcPr>
          <w:p w14:paraId="1F1D3037">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对挖掘城市道路影响行人和非机动车通行，应设置而未设置临时通道的处罚</w:t>
            </w:r>
          </w:p>
        </w:tc>
        <w:tc>
          <w:tcPr>
            <w:tcW w:w="387" w:type="dxa"/>
            <w:vMerge w:val="continue"/>
            <w:vAlign w:val="center"/>
          </w:tcPr>
          <w:p w14:paraId="2690188A">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6D3D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4078FEB3">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00394CA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CB37F31">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7603134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5140BB82">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496AEAE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33C64DBB">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7FD57D96">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4FDC772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3202SZ176000</w:t>
            </w:r>
          </w:p>
        </w:tc>
        <w:tc>
          <w:tcPr>
            <w:tcW w:w="3488" w:type="dxa"/>
            <w:vAlign w:val="center"/>
          </w:tcPr>
          <w:p w14:paraId="36B1F00C">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对挖掘城市道路超过三百米未分段施工的处罚</w:t>
            </w:r>
          </w:p>
        </w:tc>
        <w:tc>
          <w:tcPr>
            <w:tcW w:w="387" w:type="dxa"/>
            <w:vMerge w:val="continue"/>
            <w:vAlign w:val="center"/>
          </w:tcPr>
          <w:p w14:paraId="0C1A4AF5">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5C66F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2527627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75526F93">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2EF9C07E">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17E0B2D5">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12868BDC">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21F7686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56629E8F">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1755D035">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366A0C2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3202SZ177000</w:t>
            </w:r>
          </w:p>
        </w:tc>
        <w:tc>
          <w:tcPr>
            <w:tcW w:w="3488" w:type="dxa"/>
            <w:vAlign w:val="center"/>
          </w:tcPr>
          <w:p w14:paraId="6CA3752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对挖掘施工中损坏地下管线的处罚</w:t>
            </w:r>
          </w:p>
        </w:tc>
        <w:tc>
          <w:tcPr>
            <w:tcW w:w="387" w:type="dxa"/>
            <w:vMerge w:val="continue"/>
            <w:vAlign w:val="center"/>
          </w:tcPr>
          <w:p w14:paraId="7A54DBCF">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1473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6B1DC3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1CFF3C20">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947699D">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D9DC45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17171505">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6FD50B85">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4E2A6254">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12EFEA35">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1F5B718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3202SZ178000</w:t>
            </w:r>
          </w:p>
        </w:tc>
        <w:tc>
          <w:tcPr>
            <w:tcW w:w="3488" w:type="dxa"/>
            <w:vAlign w:val="center"/>
          </w:tcPr>
          <w:p w14:paraId="7792C6B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对挖掘施工造成影响消防、防洪或者造成其它危害后果的处罚</w:t>
            </w:r>
          </w:p>
        </w:tc>
        <w:tc>
          <w:tcPr>
            <w:tcW w:w="387" w:type="dxa"/>
            <w:vMerge w:val="continue"/>
            <w:vAlign w:val="center"/>
          </w:tcPr>
          <w:p w14:paraId="7E1E3E53">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74DA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3DDEA13D">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3557010C">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73BA0C07">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17BE137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6930E1FD">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23F21EEF">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102393F7">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3C53D810">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6F3431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3202SZ179000</w:t>
            </w:r>
          </w:p>
        </w:tc>
        <w:tc>
          <w:tcPr>
            <w:tcW w:w="3488" w:type="dxa"/>
            <w:vAlign w:val="center"/>
          </w:tcPr>
          <w:p w14:paraId="5389300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对遇到文物测量标志等设施时未报告相关行政主管部门的，或未及时采取保护措施的处罚</w:t>
            </w:r>
          </w:p>
        </w:tc>
        <w:tc>
          <w:tcPr>
            <w:tcW w:w="387" w:type="dxa"/>
            <w:vMerge w:val="continue"/>
            <w:vAlign w:val="center"/>
          </w:tcPr>
          <w:p w14:paraId="7ECA9CEA">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0D5C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7F61C26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667A5F5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73EBFE8A">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37CDBEE">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6B12AB70">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7EE2284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2319F258">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1F18D37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0BDCC540">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3202SZ180000</w:t>
            </w:r>
          </w:p>
        </w:tc>
        <w:tc>
          <w:tcPr>
            <w:tcW w:w="3488" w:type="dxa"/>
            <w:shd w:val="clear" w:color="auto" w:fill="auto"/>
            <w:vAlign w:val="center"/>
          </w:tcPr>
          <w:p w14:paraId="5BB34BE6">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对未及时清运挖掘产生的渣土；工程完成后未按照规定回填夯实的；未及时清理现场、拆除临时设施的处罚</w:t>
            </w:r>
          </w:p>
        </w:tc>
        <w:tc>
          <w:tcPr>
            <w:tcW w:w="387" w:type="dxa"/>
            <w:vMerge w:val="continue"/>
            <w:vAlign w:val="center"/>
          </w:tcPr>
          <w:p w14:paraId="4C6043D1">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5CE8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5CF9692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4C894FA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2DD69DF7">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2F85002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6979F4BC">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3B626E1D">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087FE8AE">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33CCD1D2">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68F73D83">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3202SZ181000</w:t>
            </w:r>
          </w:p>
        </w:tc>
        <w:tc>
          <w:tcPr>
            <w:tcW w:w="3488" w:type="dxa"/>
            <w:shd w:val="clear" w:color="auto" w:fill="auto"/>
            <w:vAlign w:val="center"/>
          </w:tcPr>
          <w:p w14:paraId="16403500">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对车辆、船舶通过桥涵，未按照限载、限高、限宽等规定标志行驶的处罚</w:t>
            </w:r>
          </w:p>
        </w:tc>
        <w:tc>
          <w:tcPr>
            <w:tcW w:w="387" w:type="dxa"/>
            <w:vMerge w:val="continue"/>
            <w:vAlign w:val="center"/>
          </w:tcPr>
          <w:p w14:paraId="6E482DAF">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bl>
    <w:p w14:paraId="4FC7A0AF">
      <w:pPr>
        <w:rPr>
          <w:rFonts w:ascii="Calibri" w:hAnsi="Calibri" w:eastAsia="宋体" w:cs="Calibri"/>
        </w:rPr>
      </w:pPr>
    </w:p>
    <w:tbl>
      <w:tblPr>
        <w:tblStyle w:val="4"/>
        <w:tblW w:w="15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942"/>
        <w:gridCol w:w="638"/>
        <w:gridCol w:w="675"/>
        <w:gridCol w:w="1187"/>
        <w:gridCol w:w="4500"/>
        <w:gridCol w:w="950"/>
        <w:gridCol w:w="1038"/>
        <w:gridCol w:w="1437"/>
        <w:gridCol w:w="3344"/>
        <w:gridCol w:w="213"/>
        <w:gridCol w:w="231"/>
        <w:gridCol w:w="187"/>
      </w:tblGrid>
      <w:tr w14:paraId="21EF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51A71F8E">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序号</w:t>
            </w:r>
          </w:p>
        </w:tc>
        <w:tc>
          <w:tcPr>
            <w:tcW w:w="942" w:type="dxa"/>
            <w:vMerge w:val="restart"/>
            <w:shd w:val="clear" w:color="auto" w:fill="auto"/>
            <w:vAlign w:val="center"/>
          </w:tcPr>
          <w:p w14:paraId="0E1C9B62">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61C80F33">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事项</w:t>
            </w:r>
          </w:p>
        </w:tc>
        <w:tc>
          <w:tcPr>
            <w:tcW w:w="638" w:type="dxa"/>
            <w:vMerge w:val="restart"/>
            <w:shd w:val="clear" w:color="auto" w:fill="auto"/>
            <w:vAlign w:val="center"/>
          </w:tcPr>
          <w:p w14:paraId="7270AD72">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检查主体</w:t>
            </w:r>
          </w:p>
        </w:tc>
        <w:tc>
          <w:tcPr>
            <w:tcW w:w="675" w:type="dxa"/>
            <w:vMerge w:val="restart"/>
            <w:shd w:val="clear" w:color="auto" w:fill="auto"/>
            <w:vAlign w:val="center"/>
          </w:tcPr>
          <w:p w14:paraId="5E8B57A4">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检查机构</w:t>
            </w:r>
          </w:p>
        </w:tc>
        <w:tc>
          <w:tcPr>
            <w:tcW w:w="1187" w:type="dxa"/>
            <w:vMerge w:val="restart"/>
            <w:shd w:val="clear" w:color="auto" w:fill="auto"/>
            <w:vAlign w:val="center"/>
          </w:tcPr>
          <w:p w14:paraId="4D59284E">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检查对象</w:t>
            </w:r>
          </w:p>
        </w:tc>
        <w:tc>
          <w:tcPr>
            <w:tcW w:w="4500" w:type="dxa"/>
            <w:vMerge w:val="restart"/>
            <w:shd w:val="clear" w:color="auto" w:fill="auto"/>
            <w:vAlign w:val="center"/>
          </w:tcPr>
          <w:p w14:paraId="0ABD83D1">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Times New Roman" w:eastAsia="黑体" w:cs="Calibri"/>
                <w:b w:val="0"/>
                <w:bCs w:val="0"/>
                <w:kern w:val="0"/>
                <w:sz w:val="22"/>
                <w:szCs w:val="22"/>
              </w:rPr>
              <w:t>检查依据</w:t>
            </w:r>
          </w:p>
        </w:tc>
        <w:tc>
          <w:tcPr>
            <w:tcW w:w="950" w:type="dxa"/>
            <w:vMerge w:val="restart"/>
            <w:shd w:val="clear" w:color="auto" w:fill="auto"/>
            <w:vAlign w:val="center"/>
          </w:tcPr>
          <w:p w14:paraId="014A249E">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0ACEBF8A">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方式</w:t>
            </w:r>
          </w:p>
        </w:tc>
        <w:tc>
          <w:tcPr>
            <w:tcW w:w="1038" w:type="dxa"/>
            <w:vMerge w:val="restart"/>
            <w:shd w:val="clear" w:color="auto" w:fill="auto"/>
            <w:vAlign w:val="center"/>
          </w:tcPr>
          <w:p w14:paraId="03D2900B">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6E10542A">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频次</w:t>
            </w:r>
          </w:p>
          <w:p w14:paraId="18CC3D63">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（时间）</w:t>
            </w:r>
          </w:p>
        </w:tc>
        <w:tc>
          <w:tcPr>
            <w:tcW w:w="4994" w:type="dxa"/>
            <w:gridSpan w:val="3"/>
            <w:shd w:val="clear" w:color="auto" w:fill="auto"/>
            <w:vAlign w:val="center"/>
          </w:tcPr>
          <w:p w14:paraId="5EA3066C">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val="0"/>
                <w:kern w:val="0"/>
                <w:sz w:val="22"/>
                <w:szCs w:val="22"/>
              </w:rPr>
              <w:t>对应的行政权力事项</w:t>
            </w:r>
          </w:p>
        </w:tc>
        <w:tc>
          <w:tcPr>
            <w:tcW w:w="418" w:type="dxa"/>
            <w:gridSpan w:val="2"/>
            <w:vMerge w:val="restart"/>
            <w:vAlign w:val="center"/>
          </w:tcPr>
          <w:p w14:paraId="3CD3BDB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r>
              <w:rPr>
                <w:rFonts w:ascii="Times New Roman" w:hAnsi="黑体" w:eastAsia="黑体" w:cs="Calibri"/>
                <w:b w:val="0"/>
                <w:bCs w:val="0"/>
                <w:kern w:val="0"/>
                <w:sz w:val="22"/>
                <w:szCs w:val="22"/>
              </w:rPr>
              <w:t>备注</w:t>
            </w:r>
          </w:p>
        </w:tc>
      </w:tr>
      <w:tr w14:paraId="743E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56A691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75C3BD3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0EC9EA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2313089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12D48B6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7C9D02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443A3D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01CC26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7E6FC140">
            <w:pPr>
              <w:snapToGrid w:val="0"/>
              <w:ind w:left="0" w:leftChars="0" w:right="0" w:rightChars="0" w:firstLine="0" w:firstLineChars="0"/>
              <w:jc w:val="center"/>
              <w:rPr>
                <w:rFonts w:hint="default"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权力编码</w:t>
            </w:r>
          </w:p>
        </w:tc>
        <w:tc>
          <w:tcPr>
            <w:tcW w:w="3557" w:type="dxa"/>
            <w:gridSpan w:val="2"/>
            <w:shd w:val="clear" w:color="auto" w:fill="auto"/>
            <w:vAlign w:val="center"/>
          </w:tcPr>
          <w:p w14:paraId="5699CC90">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权力名称</w:t>
            </w:r>
          </w:p>
        </w:tc>
        <w:tc>
          <w:tcPr>
            <w:tcW w:w="418" w:type="dxa"/>
            <w:gridSpan w:val="2"/>
            <w:vMerge w:val="continue"/>
            <w:vAlign w:val="center"/>
          </w:tcPr>
          <w:p w14:paraId="3231485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05C1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restart"/>
            <w:shd w:val="clear" w:color="auto" w:fill="auto"/>
            <w:vAlign w:val="center"/>
          </w:tcPr>
          <w:p w14:paraId="4A3641E6">
            <w:pPr>
              <w:snapToGrid w:val="0"/>
              <w:ind w:left="0" w:leftChars="0" w:right="0" w:rightChars="0" w:firstLine="0" w:firstLineChars="0"/>
              <w:jc w:val="center"/>
              <w:rPr>
                <w:rFonts w:hint="eastAsia" w:ascii="Calibri" w:hAnsi="Calibri" w:eastAsia="宋体" w:cs="Calibri"/>
                <w:lang w:val="en-US" w:eastAsia="zh-CN"/>
              </w:rPr>
            </w:pPr>
            <w:r>
              <w:rPr>
                <w:rFonts w:hint="eastAsia" w:ascii="仿宋_GB2312" w:hAnsi="仿宋_GB2312" w:eastAsia="仿宋_GB2312" w:cs="仿宋_GB2312"/>
                <w:color w:val="auto"/>
                <w:kern w:val="0"/>
                <w:sz w:val="20"/>
                <w:szCs w:val="20"/>
                <w:lang w:val="en-US" w:eastAsia="zh-CN"/>
              </w:rPr>
              <w:t>1</w:t>
            </w:r>
          </w:p>
        </w:tc>
        <w:tc>
          <w:tcPr>
            <w:tcW w:w="942" w:type="dxa"/>
            <w:vMerge w:val="restart"/>
            <w:shd w:val="clear" w:color="auto" w:fill="auto"/>
            <w:vAlign w:val="center"/>
          </w:tcPr>
          <w:p w14:paraId="0D8B8D2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对市政公用基础设施运营相关行为的行政检查</w:t>
            </w:r>
            <w:r>
              <w:rPr>
                <w:rFonts w:hint="eastAsia" w:ascii="仿宋_GB2312" w:hAnsi="仿宋_GB2312" w:eastAsia="仿宋_GB2312" w:cs="仿宋_GB2312"/>
                <w:color w:val="auto"/>
                <w:kern w:val="0"/>
                <w:sz w:val="20"/>
                <w:szCs w:val="20"/>
                <w:lang w:val="en-US" w:eastAsia="zh-CN"/>
              </w:rPr>
              <w:t>（续上页）</w:t>
            </w:r>
          </w:p>
        </w:tc>
        <w:tc>
          <w:tcPr>
            <w:tcW w:w="638" w:type="dxa"/>
            <w:vMerge w:val="restart"/>
            <w:shd w:val="clear" w:color="auto" w:fill="auto"/>
            <w:vAlign w:val="center"/>
          </w:tcPr>
          <w:p w14:paraId="1C423E3D">
            <w:pPr>
              <w:overflowPunct w:val="0"/>
              <w:autoSpaceDE w:val="0"/>
              <w:autoSpaceDN w:val="0"/>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675" w:type="dxa"/>
            <w:vMerge w:val="restart"/>
            <w:shd w:val="clear" w:color="auto" w:fill="auto"/>
            <w:vAlign w:val="center"/>
          </w:tcPr>
          <w:p w14:paraId="6D31B50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1187" w:type="dxa"/>
            <w:vMerge w:val="restart"/>
            <w:shd w:val="clear" w:color="auto" w:fill="auto"/>
            <w:vAlign w:val="center"/>
          </w:tcPr>
          <w:p w14:paraId="20129721">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i w:val="0"/>
                <w:iCs w:val="0"/>
                <w:caps w:val="0"/>
                <w:color w:val="auto"/>
                <w:spacing w:val="0"/>
                <w:sz w:val="20"/>
                <w:szCs w:val="20"/>
                <w:lang w:val="en-US" w:eastAsia="zh-CN"/>
              </w:rPr>
              <w:t>承担城市道路养护、维修的单位，其他相关单位和企业</w:t>
            </w:r>
          </w:p>
        </w:tc>
        <w:tc>
          <w:tcPr>
            <w:tcW w:w="4500" w:type="dxa"/>
            <w:vMerge w:val="restart"/>
            <w:shd w:val="clear" w:color="auto" w:fill="auto"/>
            <w:vAlign w:val="center"/>
          </w:tcPr>
          <w:p w14:paraId="459E86D4">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《苏州市市政设施管理条例》</w:t>
            </w:r>
          </w:p>
          <w:p w14:paraId="4E2F22AD">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市政设施行政主管部门负责本行政区域内市政设施的统一监督管理；县级市（区）市政设施行政主管部门按照职责权限对市政设施进行监督管理。规划、建设、公安、环保、交通、水利（水务）、园林和绿化、工商等行政管理部门，以及各类管线所有人或者管理人应当按照各自职责，共同做好市政设施的相关管理工作。市市政设施行政主管部门可以委托市政设施管理机构具体负责相关市政设施的日常管理。</w:t>
            </w:r>
          </w:p>
          <w:p w14:paraId="13677712">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第十三条 市政设施行政主管部门应当定期对市政设施进行巡查、养护。发现损坏、缺失的，应当立即采取安全措施，并及时维修、补缺；属于其他所有人或者管理人的，应当及时告知并督促其维修、补缺。其他所有人或者管理人应当对其管理的市政设施加强巡查、养护，发现损坏、缺失的，应当立即采取安全措施，并及时维修、补缺。</w:t>
            </w:r>
          </w:p>
          <w:p w14:paraId="7BA2D135">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《苏州市地下管线管理办法》</w:t>
            </w:r>
          </w:p>
          <w:p w14:paraId="74D309C0">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市、县级市（区）人民政府（管委会）负责本行政区域内地下管线的统筹管理工作。</w:t>
            </w:r>
          </w:p>
          <w:p w14:paraId="7C92863F">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市政设施主管部门负责地下管线日常综合协调、监督管理工作，具体工作可以委托地下管线管理机构承担。</w:t>
            </w:r>
          </w:p>
          <w:p w14:paraId="290C1CC5">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《苏州市机动车停车场管理办法》</w:t>
            </w:r>
          </w:p>
          <w:p w14:paraId="127DDA2B">
            <w:pPr>
              <w:overflowPunct w:val="0"/>
              <w:autoSpaceDE w:val="0"/>
              <w:autoSpaceDN w:val="0"/>
              <w:snapToGrid w:val="0"/>
              <w:ind w:left="0" w:leftChars="0" w:right="0" w:rightChars="0" w:firstLine="0" w:firstLineChars="0"/>
              <w:jc w:val="left"/>
              <w:rPr>
                <w:rFonts w:hint="eastAsia" w:ascii="仿宋_GB2312" w:hAnsi="仿宋_GB2312" w:eastAsia="仿宋_GB2312" w:cs="仿宋_GB2312"/>
                <w:i w:val="0"/>
                <w:iCs w:val="0"/>
                <w:caps w:val="0"/>
                <w:color w:val="auto"/>
                <w:spacing w:val="0"/>
                <w:kern w:val="2"/>
                <w:sz w:val="20"/>
                <w:szCs w:val="20"/>
                <w:lang w:val="en-US" w:eastAsia="zh-CN" w:bidi="ar-SA"/>
              </w:rPr>
            </w:pPr>
            <w:r>
              <w:rPr>
                <w:rFonts w:hint="eastAsia" w:ascii="仿宋_GB2312" w:hAnsi="仿宋_GB2312" w:eastAsia="仿宋_GB2312" w:cs="仿宋_GB2312"/>
                <w:color w:val="auto"/>
                <w:kern w:val="0"/>
                <w:sz w:val="20"/>
                <w:szCs w:val="20"/>
                <w:lang w:val="en-US" w:eastAsia="zh-CN"/>
              </w:rPr>
              <w:t>第五条第二款 市市政设施行政主管部门是本市机动车停车场管理主管部门，负责机动车停车场管理的综合协调、监督检查等工作，指</w:t>
            </w:r>
            <w:r>
              <w:rPr>
                <w:rFonts w:hint="eastAsia" w:ascii="仿宋_GB2312" w:hAnsi="仿宋_GB2312" w:eastAsia="仿宋_GB2312" w:cs="仿宋_GB2312"/>
                <w:i w:val="0"/>
                <w:iCs w:val="0"/>
                <w:caps w:val="0"/>
                <w:color w:val="auto"/>
                <w:spacing w:val="0"/>
                <w:sz w:val="20"/>
                <w:szCs w:val="20"/>
                <w:lang w:val="en-US" w:eastAsia="zh-CN"/>
              </w:rPr>
              <w:t>导机动车停车场相关行业协会开展工作。</w:t>
            </w:r>
          </w:p>
        </w:tc>
        <w:tc>
          <w:tcPr>
            <w:tcW w:w="950" w:type="dxa"/>
            <w:vMerge w:val="restart"/>
            <w:shd w:val="clear" w:color="auto" w:fill="auto"/>
            <w:vAlign w:val="center"/>
          </w:tcPr>
          <w:p w14:paraId="49ABCD15">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现场检查、书面检查、网络检查</w:t>
            </w:r>
          </w:p>
        </w:tc>
        <w:tc>
          <w:tcPr>
            <w:tcW w:w="1038" w:type="dxa"/>
            <w:vMerge w:val="restart"/>
            <w:shd w:val="clear" w:color="auto" w:fill="auto"/>
            <w:vAlign w:val="center"/>
          </w:tcPr>
          <w:p w14:paraId="1A7AC013">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1437" w:type="dxa"/>
            <w:vAlign w:val="center"/>
          </w:tcPr>
          <w:p w14:paraId="276496D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3202SZ158000</w:t>
            </w:r>
          </w:p>
        </w:tc>
        <w:tc>
          <w:tcPr>
            <w:tcW w:w="3557" w:type="dxa"/>
            <w:gridSpan w:val="2"/>
            <w:vAlign w:val="center"/>
          </w:tcPr>
          <w:p w14:paraId="5FE62B21">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对在城市桥涵安全保护区域，在桥面上停车（交通管制等特殊情况除外）、试刹车的处罚</w:t>
            </w:r>
          </w:p>
        </w:tc>
        <w:tc>
          <w:tcPr>
            <w:tcW w:w="418" w:type="dxa"/>
            <w:gridSpan w:val="2"/>
            <w:vMerge w:val="restart"/>
            <w:vAlign w:val="center"/>
          </w:tcPr>
          <w:p w14:paraId="2431B1C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0774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3962AD8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6C4410F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007EF8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433CE41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1A5079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519637D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1D7C8D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1CCEFE1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74FDAF3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3202SZ159000</w:t>
            </w:r>
          </w:p>
        </w:tc>
        <w:tc>
          <w:tcPr>
            <w:tcW w:w="3557" w:type="dxa"/>
            <w:gridSpan w:val="2"/>
            <w:vAlign w:val="center"/>
          </w:tcPr>
          <w:p w14:paraId="068CC2B1">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对在城市桥涵安全保护区域，利用桥涵设施进行牵拉、吊装，在桥涵范围内燃放烟花爆竹和明火作业的处罚</w:t>
            </w:r>
          </w:p>
        </w:tc>
        <w:tc>
          <w:tcPr>
            <w:tcW w:w="418" w:type="dxa"/>
            <w:gridSpan w:val="2"/>
            <w:vMerge w:val="continue"/>
            <w:vAlign w:val="center"/>
          </w:tcPr>
          <w:p w14:paraId="50E0268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538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2915896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3808DC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48521B6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4AC96C3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9B3D3F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4E36531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2DF8CBA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4024AB9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6CC9FB6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3202SZ160000</w:t>
            </w:r>
          </w:p>
        </w:tc>
        <w:tc>
          <w:tcPr>
            <w:tcW w:w="3557" w:type="dxa"/>
            <w:gridSpan w:val="2"/>
            <w:vAlign w:val="center"/>
          </w:tcPr>
          <w:p w14:paraId="1A7219C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对在城市桥涵安全保护区域，擅自设置广告、声屏障等设施的处罚</w:t>
            </w:r>
          </w:p>
        </w:tc>
        <w:tc>
          <w:tcPr>
            <w:tcW w:w="418" w:type="dxa"/>
            <w:gridSpan w:val="2"/>
            <w:vMerge w:val="continue"/>
            <w:vAlign w:val="center"/>
          </w:tcPr>
          <w:p w14:paraId="5B630A5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2CDD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4DC72A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0562D8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1CD701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5F984ED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22F34EF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6A0A69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0EEB1F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76D1ABF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633C9F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3202SZ161000</w:t>
            </w:r>
          </w:p>
        </w:tc>
        <w:tc>
          <w:tcPr>
            <w:tcW w:w="3557" w:type="dxa"/>
            <w:gridSpan w:val="2"/>
            <w:vAlign w:val="center"/>
          </w:tcPr>
          <w:p w14:paraId="675832B2">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对在城市桥涵安全保护区域，破坏、增设、变更或者移动桥涵的附属设施的处罚</w:t>
            </w:r>
          </w:p>
        </w:tc>
        <w:tc>
          <w:tcPr>
            <w:tcW w:w="418" w:type="dxa"/>
            <w:gridSpan w:val="2"/>
            <w:vMerge w:val="continue"/>
            <w:vAlign w:val="center"/>
          </w:tcPr>
          <w:p w14:paraId="777961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53F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5F63BE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0BBF9C0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44FE3D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7AAC83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4956AE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51D871F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4101B9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3FAB741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46A8156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3202SZ162000</w:t>
            </w:r>
          </w:p>
        </w:tc>
        <w:tc>
          <w:tcPr>
            <w:tcW w:w="3557" w:type="dxa"/>
            <w:gridSpan w:val="2"/>
            <w:vAlign w:val="center"/>
          </w:tcPr>
          <w:p w14:paraId="2F8EFC79">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对在城市桥涵安全保护区域，设摊经营、违章搭建建（构）筑物的处罚</w:t>
            </w:r>
          </w:p>
        </w:tc>
        <w:tc>
          <w:tcPr>
            <w:tcW w:w="418" w:type="dxa"/>
            <w:gridSpan w:val="2"/>
            <w:vMerge w:val="continue"/>
            <w:vAlign w:val="center"/>
          </w:tcPr>
          <w:p w14:paraId="201A99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53F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3011D3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61E1559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4C1B41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2B9B864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C0E3C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6FEED0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0192870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18C96B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vAlign w:val="center"/>
          </w:tcPr>
          <w:p w14:paraId="1C6F4F3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3202SZ163000</w:t>
            </w:r>
          </w:p>
        </w:tc>
        <w:tc>
          <w:tcPr>
            <w:tcW w:w="3557" w:type="dxa"/>
            <w:gridSpan w:val="2"/>
            <w:vAlign w:val="center"/>
          </w:tcPr>
          <w:p w14:paraId="796AD320">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对在城市桥涵安全保护区域，在桥涵引道、边坡挖坑取土，倾倒垃圾等废弃物的处罚</w:t>
            </w:r>
          </w:p>
        </w:tc>
        <w:tc>
          <w:tcPr>
            <w:tcW w:w="418" w:type="dxa"/>
            <w:gridSpan w:val="2"/>
            <w:vMerge w:val="continue"/>
            <w:vAlign w:val="center"/>
          </w:tcPr>
          <w:p w14:paraId="016597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1877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260FE3AA">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3D6ACD65">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02F919CB">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0012343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3AC96BCB">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5E5F782C">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0D612BB0">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0FCE3484">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33CBB26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3202SZ164000</w:t>
            </w:r>
          </w:p>
        </w:tc>
        <w:tc>
          <w:tcPr>
            <w:tcW w:w="3557" w:type="dxa"/>
            <w:gridSpan w:val="2"/>
            <w:vAlign w:val="center"/>
          </w:tcPr>
          <w:p w14:paraId="44E2D28A">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对在城市桥涵安全保护区域，未采取安全保护措施，从事河道疏浚、河道挖掘、建筑打桩、地下管道顶进、爆破等作业的处罚</w:t>
            </w:r>
          </w:p>
        </w:tc>
        <w:tc>
          <w:tcPr>
            <w:tcW w:w="418" w:type="dxa"/>
            <w:gridSpan w:val="2"/>
            <w:vAlign w:val="center"/>
          </w:tcPr>
          <w:p w14:paraId="4F582C7D">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3ECB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06D96DFC">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5249E83E">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37812554">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7DBB8F7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40A1C160">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16BF7D87">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21FD0852">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7363349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4CAADE6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3202SZ165000</w:t>
            </w:r>
          </w:p>
        </w:tc>
        <w:tc>
          <w:tcPr>
            <w:tcW w:w="3557" w:type="dxa"/>
            <w:gridSpan w:val="2"/>
            <w:vAlign w:val="center"/>
          </w:tcPr>
          <w:p w14:paraId="72BF633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对在城市桥涵安全保护区域，其他损害、侵占、盗窃桥涵设施的行为的处罚</w:t>
            </w:r>
          </w:p>
        </w:tc>
        <w:tc>
          <w:tcPr>
            <w:tcW w:w="418" w:type="dxa"/>
            <w:gridSpan w:val="2"/>
            <w:vAlign w:val="center"/>
          </w:tcPr>
          <w:p w14:paraId="1A4F9203">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7CF2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5CFD85E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49EAEE4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7BB4C75F">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77A365B3">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15F182A9">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1749ADB7">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34E37551">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2590BCB2">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0A06B11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3202SZ166000</w:t>
            </w:r>
          </w:p>
        </w:tc>
        <w:tc>
          <w:tcPr>
            <w:tcW w:w="3557" w:type="dxa"/>
            <w:gridSpan w:val="2"/>
            <w:vAlign w:val="center"/>
          </w:tcPr>
          <w:p w14:paraId="13D382A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对擅自在城市照明设施周围挖坑取土、堆放物品、修建建（构）筑物的处罚</w:t>
            </w:r>
          </w:p>
        </w:tc>
        <w:tc>
          <w:tcPr>
            <w:tcW w:w="418" w:type="dxa"/>
            <w:gridSpan w:val="2"/>
            <w:vAlign w:val="center"/>
          </w:tcPr>
          <w:p w14:paraId="650AFDB8">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7731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4A72FEAE">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72B4561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CE3939B">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A9185CC">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1BC7AE1E">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4CAE01C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6019A38A">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04460BD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199C2DE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3202SZ167000</w:t>
            </w:r>
          </w:p>
        </w:tc>
        <w:tc>
          <w:tcPr>
            <w:tcW w:w="3557" w:type="dxa"/>
            <w:gridSpan w:val="2"/>
            <w:vAlign w:val="center"/>
          </w:tcPr>
          <w:p w14:paraId="559A81D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对其他损害城市照明设施的行为的处罚</w:t>
            </w:r>
          </w:p>
        </w:tc>
        <w:tc>
          <w:tcPr>
            <w:tcW w:w="418" w:type="dxa"/>
            <w:gridSpan w:val="2"/>
            <w:vAlign w:val="center"/>
          </w:tcPr>
          <w:p w14:paraId="631F2FE9">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6917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dxa"/>
            <w:vMerge w:val="continue"/>
            <w:vAlign w:val="center"/>
          </w:tcPr>
          <w:p w14:paraId="56A32932">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7E002F6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648BE3A6">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2FB8FD1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2662DA3F">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4B4BE9CC">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0E1E8964">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0DA84364">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vAlign w:val="center"/>
          </w:tcPr>
          <w:p w14:paraId="73DB0E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rPr>
            </w:pPr>
            <w:r>
              <w:rPr>
                <w:rFonts w:hint="default" w:ascii="仿宋_GB2312" w:hAnsi="Times New Roman" w:eastAsia="仿宋_GB2312" w:cs="Times New Roman"/>
                <w:i w:val="0"/>
                <w:iCs w:val="0"/>
                <w:color w:val="000000"/>
                <w:kern w:val="0"/>
                <w:sz w:val="20"/>
                <w:szCs w:val="16"/>
                <w:u w:val="none"/>
                <w:lang w:val="en-US" w:eastAsia="zh-CN" w:bidi="ar"/>
              </w:rPr>
              <w:t>3202SZ168000</w:t>
            </w:r>
          </w:p>
        </w:tc>
        <w:tc>
          <w:tcPr>
            <w:tcW w:w="3557" w:type="dxa"/>
            <w:gridSpan w:val="2"/>
            <w:vAlign w:val="center"/>
          </w:tcPr>
          <w:p w14:paraId="73BE1A3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未经批准运载超限的不可解体的物品的；经批准未按照公安机关交通管理部门指定的时间路线运载超限的不可解体的物品的；车辆所有人或者经营人未按照市政设施行政主管部门和公安机关交通管理部门的要求采取相应的保护措施的处罚</w:t>
            </w:r>
          </w:p>
        </w:tc>
        <w:tc>
          <w:tcPr>
            <w:tcW w:w="418" w:type="dxa"/>
            <w:gridSpan w:val="2"/>
            <w:vAlign w:val="center"/>
          </w:tcPr>
          <w:p w14:paraId="0DC896D6">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125C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restart"/>
            <w:shd w:val="clear" w:color="auto" w:fill="auto"/>
            <w:vAlign w:val="center"/>
          </w:tcPr>
          <w:p w14:paraId="3E3E8AA9">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序号</w:t>
            </w:r>
          </w:p>
        </w:tc>
        <w:tc>
          <w:tcPr>
            <w:tcW w:w="942" w:type="dxa"/>
            <w:vMerge w:val="restart"/>
            <w:shd w:val="clear" w:color="auto" w:fill="auto"/>
            <w:vAlign w:val="center"/>
          </w:tcPr>
          <w:p w14:paraId="41C3FCB7">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0A51117A">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事项</w:t>
            </w:r>
          </w:p>
        </w:tc>
        <w:tc>
          <w:tcPr>
            <w:tcW w:w="638" w:type="dxa"/>
            <w:vMerge w:val="restart"/>
            <w:shd w:val="clear" w:color="auto" w:fill="auto"/>
            <w:vAlign w:val="center"/>
          </w:tcPr>
          <w:p w14:paraId="587F9622">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检查主体</w:t>
            </w:r>
          </w:p>
        </w:tc>
        <w:tc>
          <w:tcPr>
            <w:tcW w:w="675" w:type="dxa"/>
            <w:vMerge w:val="restart"/>
            <w:shd w:val="clear" w:color="auto" w:fill="auto"/>
            <w:vAlign w:val="center"/>
          </w:tcPr>
          <w:p w14:paraId="02474EA6">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检查机构</w:t>
            </w:r>
          </w:p>
        </w:tc>
        <w:tc>
          <w:tcPr>
            <w:tcW w:w="1187" w:type="dxa"/>
            <w:vMerge w:val="restart"/>
            <w:shd w:val="clear" w:color="auto" w:fill="auto"/>
            <w:vAlign w:val="center"/>
          </w:tcPr>
          <w:p w14:paraId="202DCA94">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检查对象</w:t>
            </w:r>
          </w:p>
        </w:tc>
        <w:tc>
          <w:tcPr>
            <w:tcW w:w="4500" w:type="dxa"/>
            <w:vMerge w:val="restart"/>
            <w:shd w:val="clear" w:color="auto" w:fill="auto"/>
            <w:vAlign w:val="center"/>
          </w:tcPr>
          <w:p w14:paraId="18E4E681">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Times New Roman" w:eastAsia="黑体" w:cs="Calibri"/>
                <w:b w:val="0"/>
                <w:bCs w:val="0"/>
                <w:kern w:val="0"/>
                <w:sz w:val="22"/>
                <w:szCs w:val="22"/>
              </w:rPr>
              <w:t>检查依据</w:t>
            </w:r>
          </w:p>
        </w:tc>
        <w:tc>
          <w:tcPr>
            <w:tcW w:w="950" w:type="dxa"/>
            <w:vMerge w:val="restart"/>
            <w:shd w:val="clear" w:color="auto" w:fill="auto"/>
            <w:vAlign w:val="center"/>
          </w:tcPr>
          <w:p w14:paraId="2E0B67CE">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4797C2C0">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方式</w:t>
            </w:r>
          </w:p>
        </w:tc>
        <w:tc>
          <w:tcPr>
            <w:tcW w:w="1038" w:type="dxa"/>
            <w:vMerge w:val="restart"/>
            <w:shd w:val="clear" w:color="auto" w:fill="auto"/>
            <w:vAlign w:val="center"/>
          </w:tcPr>
          <w:p w14:paraId="27A1D02B">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检查</w:t>
            </w:r>
          </w:p>
          <w:p w14:paraId="6D6471EE">
            <w:pPr>
              <w:snapToGrid w:val="0"/>
              <w:ind w:left="0" w:leftChars="0" w:right="0" w:rightChars="0" w:firstLine="0" w:firstLineChars="0"/>
              <w:jc w:val="center"/>
              <w:rPr>
                <w:rFonts w:ascii="Times New Roman" w:hAnsi="黑体" w:eastAsia="黑体" w:cs="Calibri"/>
                <w:b w:val="0"/>
                <w:bCs w:val="0"/>
                <w:kern w:val="0"/>
                <w:sz w:val="22"/>
                <w:szCs w:val="22"/>
              </w:rPr>
            </w:pPr>
            <w:r>
              <w:rPr>
                <w:rFonts w:ascii="Times New Roman" w:hAnsi="黑体" w:eastAsia="黑体" w:cs="Calibri"/>
                <w:b w:val="0"/>
                <w:bCs w:val="0"/>
                <w:kern w:val="0"/>
                <w:sz w:val="22"/>
                <w:szCs w:val="22"/>
              </w:rPr>
              <w:t>频次</w:t>
            </w:r>
          </w:p>
          <w:p w14:paraId="407B37DC">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（时间）</w:t>
            </w:r>
          </w:p>
        </w:tc>
        <w:tc>
          <w:tcPr>
            <w:tcW w:w="4781" w:type="dxa"/>
            <w:gridSpan w:val="2"/>
            <w:shd w:val="clear" w:color="auto" w:fill="auto"/>
            <w:vAlign w:val="center"/>
          </w:tcPr>
          <w:p w14:paraId="5410DEA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val="0"/>
                <w:kern w:val="0"/>
                <w:sz w:val="22"/>
                <w:szCs w:val="22"/>
              </w:rPr>
              <w:t>对应的行政权力事项</w:t>
            </w:r>
          </w:p>
        </w:tc>
        <w:tc>
          <w:tcPr>
            <w:tcW w:w="444" w:type="dxa"/>
            <w:gridSpan w:val="2"/>
            <w:vMerge w:val="restart"/>
            <w:vAlign w:val="center"/>
          </w:tcPr>
          <w:p w14:paraId="385379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r>
              <w:rPr>
                <w:rFonts w:ascii="Times New Roman" w:hAnsi="黑体" w:eastAsia="黑体" w:cs="Calibri"/>
                <w:b w:val="0"/>
                <w:bCs w:val="0"/>
                <w:kern w:val="0"/>
                <w:sz w:val="22"/>
                <w:szCs w:val="22"/>
              </w:rPr>
              <w:t>备注</w:t>
            </w:r>
          </w:p>
        </w:tc>
      </w:tr>
      <w:tr w14:paraId="74D0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1893C6E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54548B6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113CB2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31F38F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63C312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668FD1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63936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166C34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56E0A3AA">
            <w:pPr>
              <w:snapToGrid w:val="0"/>
              <w:ind w:left="0" w:leftChars="0" w:right="0" w:rightChars="0" w:firstLine="0" w:firstLineChars="0"/>
              <w:jc w:val="center"/>
              <w:rPr>
                <w:rFonts w:hint="default"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权力编码</w:t>
            </w:r>
          </w:p>
        </w:tc>
        <w:tc>
          <w:tcPr>
            <w:tcW w:w="3344" w:type="dxa"/>
            <w:shd w:val="clear" w:color="auto" w:fill="auto"/>
            <w:vAlign w:val="center"/>
          </w:tcPr>
          <w:p w14:paraId="3C4EBAEA">
            <w:pPr>
              <w:snapToGrid w:val="0"/>
              <w:ind w:left="0" w:leftChars="0" w:right="0" w:rightChars="0" w:firstLine="0" w:firstLineChars="0"/>
              <w:jc w:val="center"/>
              <w:rPr>
                <w:rFonts w:hint="eastAsia" w:ascii="Times New Roman" w:hAnsi="Times New Roman" w:eastAsia="黑体" w:cs="Calibri"/>
                <w:b w:val="0"/>
                <w:bCs w:val="0"/>
                <w:kern w:val="0"/>
                <w:sz w:val="22"/>
                <w:szCs w:val="22"/>
                <w:lang w:val="en-US" w:eastAsia="zh-CN" w:bidi="ar-SA"/>
              </w:rPr>
            </w:pPr>
            <w:r>
              <w:rPr>
                <w:rFonts w:ascii="Times New Roman" w:hAnsi="黑体" w:eastAsia="黑体" w:cs="Calibri"/>
                <w:b w:val="0"/>
                <w:bCs w:val="0"/>
                <w:kern w:val="0"/>
                <w:sz w:val="22"/>
                <w:szCs w:val="22"/>
              </w:rPr>
              <w:t>权力名称</w:t>
            </w:r>
          </w:p>
        </w:tc>
        <w:tc>
          <w:tcPr>
            <w:tcW w:w="444" w:type="dxa"/>
            <w:gridSpan w:val="2"/>
            <w:vMerge w:val="continue"/>
            <w:vAlign w:val="center"/>
          </w:tcPr>
          <w:p w14:paraId="6BA9BA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39C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restart"/>
            <w:shd w:val="clear" w:color="auto" w:fill="auto"/>
            <w:vAlign w:val="center"/>
          </w:tcPr>
          <w:p w14:paraId="01F05430">
            <w:pPr>
              <w:snapToGrid w:val="0"/>
              <w:ind w:left="0" w:leftChars="0" w:right="0" w:rightChars="0" w:firstLine="0" w:firstLineChars="0"/>
              <w:jc w:val="center"/>
              <w:rPr>
                <w:rFonts w:hint="eastAsia" w:ascii="Calibri" w:hAnsi="Calibri" w:eastAsia="宋体" w:cs="Calibri"/>
                <w:lang w:val="en-US" w:eastAsia="zh-CN"/>
              </w:rPr>
            </w:pPr>
            <w:r>
              <w:rPr>
                <w:rFonts w:hint="eastAsia" w:ascii="仿宋_GB2312" w:hAnsi="仿宋_GB2312" w:eastAsia="仿宋_GB2312" w:cs="仿宋_GB2312"/>
                <w:color w:val="auto"/>
                <w:kern w:val="0"/>
                <w:sz w:val="20"/>
                <w:szCs w:val="20"/>
                <w:lang w:val="en-US" w:eastAsia="zh-CN"/>
              </w:rPr>
              <w:t>1</w:t>
            </w:r>
          </w:p>
        </w:tc>
        <w:tc>
          <w:tcPr>
            <w:tcW w:w="942" w:type="dxa"/>
            <w:vMerge w:val="restart"/>
            <w:shd w:val="clear" w:color="auto" w:fill="auto"/>
            <w:vAlign w:val="center"/>
          </w:tcPr>
          <w:p w14:paraId="5D6FCFB5">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对市政公用基础设施运营相关行为的行政检查</w:t>
            </w:r>
            <w:r>
              <w:rPr>
                <w:rFonts w:hint="eastAsia" w:ascii="仿宋_GB2312" w:hAnsi="仿宋_GB2312" w:eastAsia="仿宋_GB2312" w:cs="仿宋_GB2312"/>
                <w:color w:val="auto"/>
                <w:kern w:val="0"/>
                <w:sz w:val="20"/>
                <w:szCs w:val="20"/>
                <w:lang w:val="en-US" w:eastAsia="zh-CN"/>
              </w:rPr>
              <w:t>（续上页）</w:t>
            </w:r>
          </w:p>
        </w:tc>
        <w:tc>
          <w:tcPr>
            <w:tcW w:w="638" w:type="dxa"/>
            <w:vMerge w:val="restart"/>
            <w:shd w:val="clear" w:color="auto" w:fill="auto"/>
            <w:vAlign w:val="center"/>
          </w:tcPr>
          <w:p w14:paraId="172BE4A2">
            <w:pPr>
              <w:overflowPunct w:val="0"/>
              <w:autoSpaceDE w:val="0"/>
              <w:autoSpaceDN w:val="0"/>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675" w:type="dxa"/>
            <w:vMerge w:val="restart"/>
            <w:shd w:val="clear" w:color="auto" w:fill="auto"/>
            <w:vAlign w:val="center"/>
          </w:tcPr>
          <w:p w14:paraId="40AED675">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市政设施行政主管部门</w:t>
            </w:r>
          </w:p>
        </w:tc>
        <w:tc>
          <w:tcPr>
            <w:tcW w:w="1187" w:type="dxa"/>
            <w:vMerge w:val="restart"/>
            <w:shd w:val="clear" w:color="auto" w:fill="auto"/>
            <w:vAlign w:val="center"/>
          </w:tcPr>
          <w:p w14:paraId="314EE491">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i w:val="0"/>
                <w:iCs w:val="0"/>
                <w:caps w:val="0"/>
                <w:color w:val="auto"/>
                <w:spacing w:val="0"/>
                <w:sz w:val="20"/>
                <w:szCs w:val="20"/>
                <w:lang w:val="en-US" w:eastAsia="zh-CN"/>
              </w:rPr>
              <w:t>承担城市道路养护、维修的单位，其他相关单位和企业</w:t>
            </w:r>
          </w:p>
        </w:tc>
        <w:tc>
          <w:tcPr>
            <w:tcW w:w="4500" w:type="dxa"/>
            <w:vMerge w:val="restart"/>
            <w:shd w:val="clear" w:color="auto" w:fill="auto"/>
            <w:vAlign w:val="center"/>
          </w:tcPr>
          <w:p w14:paraId="2CD66AD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《苏州市市政设施管理条例》</w:t>
            </w:r>
          </w:p>
          <w:p w14:paraId="20984355">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市政设施行政主管部门负责本行政区域内市政设施的统一监督管理；县级市（区）市政设施行政主管部门按照职责权限对市政设施进行监督管理。规划、建设、公安、环保、交通、水利（水务）、园林和绿化、工商等行政管理部门，以及各类管线所有人或者管理人应当按照各自职责，共同做好市政设施的相关管理工作。市市政设施行政主管部门可以委托市政设施管理机构具体负责相关市政设施的日常管理。</w:t>
            </w:r>
          </w:p>
          <w:p w14:paraId="00514034">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第十三条 市政设施行政主管部门应当定期对市政设施进行巡查、养护。发现损坏、缺失的，应当立即采取安全措施，并及时维修、补缺；属于其他所有人或者管理人的，应当及时告知并督促其维修、补缺。其他所有人或者管理人应当对其管理的市政设施加强巡查、养护，发现损坏、缺失的，应当立即采取安全措施，并及时维修、补缺。</w:t>
            </w:r>
          </w:p>
          <w:p w14:paraId="6E92786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《苏州市地下管线管理办法》</w:t>
            </w:r>
          </w:p>
          <w:p w14:paraId="2B5F13B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第五条  市、县级市（区）人民政府（管委会）负责本行政区域内地下管线的统筹管理工作。</w:t>
            </w:r>
          </w:p>
          <w:p w14:paraId="566E6044">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市政设施主管部门负责地下管线日常综合协调、监督管理工作，具体工作可以委托地下管线管理机构承担。</w:t>
            </w:r>
          </w:p>
          <w:p w14:paraId="5165D4D7">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《苏州市机动车停车场管理办法》</w:t>
            </w:r>
          </w:p>
          <w:p w14:paraId="621BD2C2">
            <w:pPr>
              <w:overflowPunct w:val="0"/>
              <w:autoSpaceDE w:val="0"/>
              <w:autoSpaceDN w:val="0"/>
              <w:snapToGrid w:val="0"/>
              <w:ind w:left="0" w:leftChars="0" w:right="0" w:rightChars="0" w:firstLine="0" w:firstLineChars="0"/>
              <w:jc w:val="left"/>
              <w:rPr>
                <w:rFonts w:hint="eastAsia" w:ascii="仿宋_GB2312" w:hAnsi="仿宋_GB2312" w:eastAsia="仿宋_GB2312" w:cs="仿宋_GB2312"/>
                <w:i w:val="0"/>
                <w:iCs w:val="0"/>
                <w:caps w:val="0"/>
                <w:color w:val="auto"/>
                <w:spacing w:val="0"/>
                <w:kern w:val="2"/>
                <w:sz w:val="20"/>
                <w:szCs w:val="20"/>
                <w:lang w:val="en-US" w:eastAsia="zh-CN" w:bidi="ar-SA"/>
              </w:rPr>
            </w:pPr>
            <w:r>
              <w:rPr>
                <w:rFonts w:hint="eastAsia" w:ascii="仿宋_GB2312" w:hAnsi="仿宋_GB2312" w:eastAsia="仿宋_GB2312" w:cs="仿宋_GB2312"/>
                <w:color w:val="auto"/>
                <w:kern w:val="0"/>
                <w:sz w:val="20"/>
                <w:szCs w:val="20"/>
                <w:lang w:val="en-US" w:eastAsia="zh-CN"/>
              </w:rPr>
              <w:t>第五条第二款 市市政设施行政主管部门是本市机动车停车场管理主管部门，负责机动车停车场管理的综合协调、监督检查等工作，指</w:t>
            </w:r>
            <w:r>
              <w:rPr>
                <w:rFonts w:hint="eastAsia" w:ascii="仿宋_GB2312" w:hAnsi="仿宋_GB2312" w:eastAsia="仿宋_GB2312" w:cs="仿宋_GB2312"/>
                <w:i w:val="0"/>
                <w:iCs w:val="0"/>
                <w:caps w:val="0"/>
                <w:color w:val="auto"/>
                <w:spacing w:val="0"/>
                <w:sz w:val="20"/>
                <w:szCs w:val="20"/>
                <w:lang w:val="en-US" w:eastAsia="zh-CN"/>
              </w:rPr>
              <w:t>导机动车停车场相关行业协会开展工作。</w:t>
            </w:r>
          </w:p>
        </w:tc>
        <w:tc>
          <w:tcPr>
            <w:tcW w:w="950" w:type="dxa"/>
            <w:vMerge w:val="restart"/>
            <w:shd w:val="clear" w:color="auto" w:fill="auto"/>
            <w:vAlign w:val="center"/>
          </w:tcPr>
          <w:p w14:paraId="38E8969A">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现场检查、书面检查、网络检查</w:t>
            </w:r>
          </w:p>
        </w:tc>
        <w:tc>
          <w:tcPr>
            <w:tcW w:w="1038" w:type="dxa"/>
            <w:vMerge w:val="restart"/>
            <w:shd w:val="clear" w:color="auto" w:fill="auto"/>
            <w:vAlign w:val="center"/>
          </w:tcPr>
          <w:p w14:paraId="25EC67A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1437" w:type="dxa"/>
            <w:shd w:val="clear" w:color="auto" w:fill="auto"/>
            <w:vAlign w:val="center"/>
          </w:tcPr>
          <w:p w14:paraId="509D4E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3202SZ182000</w:t>
            </w:r>
          </w:p>
        </w:tc>
        <w:tc>
          <w:tcPr>
            <w:tcW w:w="3344" w:type="dxa"/>
            <w:shd w:val="clear" w:color="auto" w:fill="auto"/>
            <w:vAlign w:val="center"/>
          </w:tcPr>
          <w:p w14:paraId="16F3EA62">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对擅自占用城市桥涵的处罚</w:t>
            </w:r>
          </w:p>
        </w:tc>
        <w:tc>
          <w:tcPr>
            <w:tcW w:w="444" w:type="dxa"/>
            <w:gridSpan w:val="2"/>
            <w:vMerge w:val="restart"/>
            <w:vAlign w:val="center"/>
          </w:tcPr>
          <w:p w14:paraId="369C65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D6E3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67BDF40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F3E40D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2D63A1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0CB877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37FA271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294A68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12D4068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45CCF6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6E5C56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3202SZ183000</w:t>
            </w:r>
          </w:p>
        </w:tc>
        <w:tc>
          <w:tcPr>
            <w:tcW w:w="3344" w:type="dxa"/>
            <w:shd w:val="clear" w:color="auto" w:fill="auto"/>
            <w:vAlign w:val="center"/>
          </w:tcPr>
          <w:p w14:paraId="72400216">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对地下管线建设单位未在竣工验收后向主管部门报送竣工资料的处罚</w:t>
            </w:r>
          </w:p>
        </w:tc>
        <w:tc>
          <w:tcPr>
            <w:tcW w:w="444" w:type="dxa"/>
            <w:gridSpan w:val="2"/>
            <w:vMerge w:val="continue"/>
            <w:vAlign w:val="center"/>
          </w:tcPr>
          <w:p w14:paraId="461F8D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72B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2115D0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6BD26D3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0B9E9D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73CBDA6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6F0C24E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6C327FE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0665E77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643E070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700E9DB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3202SZ184000</w:t>
            </w:r>
          </w:p>
        </w:tc>
        <w:tc>
          <w:tcPr>
            <w:tcW w:w="3344" w:type="dxa"/>
            <w:shd w:val="clear" w:color="auto" w:fill="auto"/>
            <w:vAlign w:val="center"/>
          </w:tcPr>
          <w:p w14:paraId="4C3C69AA">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对擅自撤除、侵占城市道路停车泊位的处罚</w:t>
            </w:r>
          </w:p>
        </w:tc>
        <w:tc>
          <w:tcPr>
            <w:tcW w:w="444" w:type="dxa"/>
            <w:gridSpan w:val="2"/>
            <w:vMerge w:val="continue"/>
            <w:vAlign w:val="center"/>
          </w:tcPr>
          <w:p w14:paraId="15F8D61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475D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06043C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16B157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224EC7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388286D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6191EC3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40ED08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7E923F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081EC88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34A8AC8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3202SZ185000</w:t>
            </w:r>
          </w:p>
        </w:tc>
        <w:tc>
          <w:tcPr>
            <w:tcW w:w="3344" w:type="dxa"/>
            <w:shd w:val="clear" w:color="auto" w:fill="auto"/>
            <w:vAlign w:val="center"/>
          </w:tcPr>
          <w:p w14:paraId="51FD144B">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对擅自将公共停车泊位作为单位或者个人专用停车泊位的处罚</w:t>
            </w:r>
          </w:p>
        </w:tc>
        <w:tc>
          <w:tcPr>
            <w:tcW w:w="444" w:type="dxa"/>
            <w:gridSpan w:val="2"/>
            <w:vMerge w:val="continue"/>
            <w:vAlign w:val="center"/>
          </w:tcPr>
          <w:p w14:paraId="1E6C680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6456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5D2D1D8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0BF579E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39B6898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34EAC2E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367671A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1BC4FB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692C22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6AD45E7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453F11F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3202SZ186000</w:t>
            </w:r>
          </w:p>
        </w:tc>
        <w:tc>
          <w:tcPr>
            <w:tcW w:w="3344" w:type="dxa"/>
            <w:shd w:val="clear" w:color="auto" w:fill="auto"/>
            <w:vAlign w:val="center"/>
          </w:tcPr>
          <w:p w14:paraId="15FB6D4E">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对擅自迁移、拆除城市照明设施的处罚</w:t>
            </w:r>
          </w:p>
        </w:tc>
        <w:tc>
          <w:tcPr>
            <w:tcW w:w="444" w:type="dxa"/>
            <w:gridSpan w:val="2"/>
            <w:vMerge w:val="continue"/>
            <w:vAlign w:val="center"/>
          </w:tcPr>
          <w:p w14:paraId="22AB84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039C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4189F5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42" w:type="dxa"/>
            <w:vMerge w:val="continue"/>
            <w:shd w:val="clear" w:color="auto" w:fill="auto"/>
            <w:vAlign w:val="center"/>
          </w:tcPr>
          <w:p w14:paraId="5450D79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38" w:type="dxa"/>
            <w:vMerge w:val="continue"/>
            <w:shd w:val="clear" w:color="auto" w:fill="auto"/>
            <w:vAlign w:val="center"/>
          </w:tcPr>
          <w:p w14:paraId="7C9FAD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675" w:type="dxa"/>
            <w:vMerge w:val="continue"/>
            <w:shd w:val="clear" w:color="auto" w:fill="auto"/>
            <w:vAlign w:val="center"/>
          </w:tcPr>
          <w:p w14:paraId="291615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87" w:type="dxa"/>
            <w:vMerge w:val="continue"/>
            <w:shd w:val="clear" w:color="auto" w:fill="auto"/>
            <w:vAlign w:val="center"/>
          </w:tcPr>
          <w:p w14:paraId="5CDA5E1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4500" w:type="dxa"/>
            <w:vMerge w:val="continue"/>
            <w:shd w:val="clear" w:color="auto" w:fill="auto"/>
            <w:vAlign w:val="center"/>
          </w:tcPr>
          <w:p w14:paraId="0933D4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950" w:type="dxa"/>
            <w:vMerge w:val="continue"/>
            <w:vAlign w:val="center"/>
          </w:tcPr>
          <w:p w14:paraId="2E836E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c>
          <w:tcPr>
            <w:tcW w:w="1038" w:type="dxa"/>
            <w:vMerge w:val="continue"/>
            <w:vAlign w:val="center"/>
          </w:tcPr>
          <w:p w14:paraId="0527E15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437" w:type="dxa"/>
            <w:shd w:val="clear" w:color="auto" w:fill="auto"/>
            <w:vAlign w:val="center"/>
          </w:tcPr>
          <w:p w14:paraId="7649077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3202SZ187000</w:t>
            </w:r>
          </w:p>
        </w:tc>
        <w:tc>
          <w:tcPr>
            <w:tcW w:w="3344" w:type="dxa"/>
            <w:shd w:val="clear" w:color="auto" w:fill="auto"/>
            <w:vAlign w:val="center"/>
          </w:tcPr>
          <w:p w14:paraId="7DEB7555">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对擅自设置各类地下管线的处罚</w:t>
            </w:r>
          </w:p>
        </w:tc>
        <w:tc>
          <w:tcPr>
            <w:tcW w:w="444" w:type="dxa"/>
            <w:gridSpan w:val="2"/>
            <w:vMerge w:val="continue"/>
            <w:vAlign w:val="center"/>
          </w:tcPr>
          <w:p w14:paraId="05CD34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bCs/>
                <w:color w:val="auto"/>
                <w:kern w:val="0"/>
                <w:sz w:val="20"/>
                <w:szCs w:val="20"/>
              </w:rPr>
            </w:pPr>
          </w:p>
        </w:tc>
      </w:tr>
      <w:tr w14:paraId="720A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05D7DFB9">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2B46962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2BDCAEB6">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7A4E796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077AE0AA">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30BFF79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14251F68">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776AF41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50AA9BB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3202SZ205000</w:t>
            </w:r>
          </w:p>
        </w:tc>
        <w:tc>
          <w:tcPr>
            <w:tcW w:w="3344" w:type="dxa"/>
            <w:shd w:val="clear" w:color="auto" w:fill="auto"/>
            <w:vAlign w:val="center"/>
          </w:tcPr>
          <w:p w14:paraId="1B79CC0A">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对未经批准擅自依附于城市道路设置设施的处罚</w:t>
            </w:r>
          </w:p>
        </w:tc>
        <w:tc>
          <w:tcPr>
            <w:tcW w:w="444" w:type="dxa"/>
            <w:gridSpan w:val="2"/>
            <w:vMerge w:val="continue"/>
            <w:vAlign w:val="center"/>
          </w:tcPr>
          <w:p w14:paraId="6004142D">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5B7E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11A18743">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6EC4852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4C56091">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3C9BB05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4E469F70">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6A24FFF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0A63F519">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2A33ABC3">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145D1612">
            <w:pPr>
              <w:snapToGrid w:val="0"/>
              <w:ind w:left="0" w:leftChars="0" w:right="0" w:rightChars="0" w:firstLine="0" w:firstLineChars="0"/>
              <w:jc w:val="center"/>
              <w:rPr>
                <w:rFonts w:hint="eastAsia" w:ascii="仿宋_GB2312" w:hAnsi="仿宋_GB2312" w:eastAsia="仿宋_GB2312" w:cs="仿宋_GB2312"/>
                <w:bCs/>
                <w:color w:val="auto"/>
                <w:kern w:val="0"/>
                <w:sz w:val="20"/>
                <w:szCs w:val="16"/>
                <w:lang w:val="en-US" w:eastAsia="zh-CN" w:bidi="ar-SA"/>
              </w:rPr>
            </w:pPr>
            <w:r>
              <w:rPr>
                <w:rFonts w:hint="eastAsia" w:ascii="仿宋_GB2312" w:hAnsi="仿宋_GB2312" w:eastAsia="仿宋_GB2312" w:cs="仿宋_GB2312"/>
                <w:bCs/>
                <w:color w:val="auto"/>
                <w:kern w:val="0"/>
                <w:sz w:val="20"/>
                <w:szCs w:val="16"/>
                <w:lang w:val="en-US" w:eastAsia="zh-CN"/>
              </w:rPr>
              <w:t>/</w:t>
            </w:r>
          </w:p>
        </w:tc>
        <w:tc>
          <w:tcPr>
            <w:tcW w:w="3344" w:type="dxa"/>
            <w:shd w:val="clear" w:color="auto" w:fill="auto"/>
            <w:vAlign w:val="center"/>
          </w:tcPr>
          <w:p w14:paraId="784FFB06">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对未按照规定缴纳城市道路挖掘修复费的处罚</w:t>
            </w:r>
          </w:p>
        </w:tc>
        <w:tc>
          <w:tcPr>
            <w:tcW w:w="444" w:type="dxa"/>
            <w:gridSpan w:val="2"/>
            <w:vMerge w:val="continue"/>
            <w:vAlign w:val="center"/>
          </w:tcPr>
          <w:p w14:paraId="6359287B">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614B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20C3C1ED">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19580C0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4BC10A1A">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4817001A">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39D5A16F">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5E368A8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4385A040">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13386F1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3FC5A3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16"/>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 xml:space="preserve">3202SZ384000 </w:t>
            </w:r>
          </w:p>
        </w:tc>
        <w:tc>
          <w:tcPr>
            <w:tcW w:w="3344" w:type="dxa"/>
            <w:shd w:val="clear" w:color="auto" w:fill="auto"/>
            <w:vAlign w:val="center"/>
          </w:tcPr>
          <w:p w14:paraId="5914ED8D">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对未按规定承担迁移、拆除城市照明设施所需费用的处罚</w:t>
            </w:r>
          </w:p>
        </w:tc>
        <w:tc>
          <w:tcPr>
            <w:tcW w:w="444" w:type="dxa"/>
            <w:gridSpan w:val="2"/>
            <w:vMerge w:val="continue"/>
            <w:vAlign w:val="center"/>
          </w:tcPr>
          <w:p w14:paraId="6D97EBA2">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0E1B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02DC113E">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672D7D0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338A3764">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5902282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772037B4">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5495DB6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68107952">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2AC73369">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293A850A">
            <w:pPr>
              <w:keepNext w:val="0"/>
              <w:keepLines w:val="0"/>
              <w:widowControl/>
              <w:suppressLineNumbers w:val="0"/>
              <w:snapToGrid w:val="0"/>
              <w:ind w:left="0" w:leftChars="0" w:right="0" w:rightChars="0" w:firstLine="0" w:firstLineChars="0"/>
              <w:jc w:val="center"/>
              <w:textAlignment w:val="center"/>
              <w:rPr>
                <w:rFonts w:hint="eastAsia" w:ascii="仿宋_GB2312" w:hAnsi="Times New Roman" w:eastAsia="仿宋_GB2312" w:cs="Times New Roman"/>
                <w:i w:val="0"/>
                <w:iCs w:val="0"/>
                <w:color w:val="000000"/>
                <w:kern w:val="2"/>
                <w:sz w:val="20"/>
                <w:szCs w:val="16"/>
                <w:u w:val="none"/>
                <w:lang w:val="en-US" w:eastAsia="zh-CN" w:bidi="ar-SA"/>
              </w:rPr>
            </w:pPr>
            <w:r>
              <w:rPr>
                <w:rFonts w:hint="default" w:ascii="仿宋_GB2312" w:hAnsi="Times New Roman" w:eastAsia="仿宋_GB2312" w:cs="Times New Roman"/>
                <w:i w:val="0"/>
                <w:iCs w:val="0"/>
                <w:color w:val="000000"/>
                <w:kern w:val="0"/>
                <w:sz w:val="20"/>
                <w:szCs w:val="16"/>
                <w:u w:val="none"/>
                <w:lang w:val="en-US" w:eastAsia="zh-CN" w:bidi="ar"/>
              </w:rPr>
              <w:t>3210SZ012000</w:t>
            </w:r>
          </w:p>
        </w:tc>
        <w:tc>
          <w:tcPr>
            <w:tcW w:w="3344" w:type="dxa"/>
            <w:shd w:val="clear" w:color="auto" w:fill="auto"/>
            <w:vAlign w:val="center"/>
          </w:tcPr>
          <w:p w14:paraId="069D0ED8">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机动车停车场经营者经营备案</w:t>
            </w:r>
          </w:p>
        </w:tc>
        <w:tc>
          <w:tcPr>
            <w:tcW w:w="444" w:type="dxa"/>
            <w:gridSpan w:val="2"/>
            <w:vMerge w:val="continue"/>
            <w:vAlign w:val="center"/>
          </w:tcPr>
          <w:p w14:paraId="367E8305">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r w14:paraId="1712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7" w:type="dxa"/>
          <w:trHeight w:val="0" w:hRule="atLeast"/>
          <w:jc w:val="center"/>
        </w:trPr>
        <w:tc>
          <w:tcPr>
            <w:tcW w:w="459" w:type="dxa"/>
            <w:vMerge w:val="continue"/>
            <w:vAlign w:val="center"/>
          </w:tcPr>
          <w:p w14:paraId="28D26E6E">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42" w:type="dxa"/>
            <w:vMerge w:val="continue"/>
            <w:shd w:val="clear" w:color="auto" w:fill="auto"/>
            <w:vAlign w:val="center"/>
          </w:tcPr>
          <w:p w14:paraId="0457FF1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38" w:type="dxa"/>
            <w:vMerge w:val="continue"/>
            <w:shd w:val="clear" w:color="auto" w:fill="auto"/>
            <w:vAlign w:val="center"/>
          </w:tcPr>
          <w:p w14:paraId="6C6FD91E">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675" w:type="dxa"/>
            <w:vMerge w:val="continue"/>
            <w:shd w:val="clear" w:color="auto" w:fill="auto"/>
            <w:vAlign w:val="center"/>
          </w:tcPr>
          <w:p w14:paraId="1677379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87" w:type="dxa"/>
            <w:vMerge w:val="continue"/>
            <w:vAlign w:val="center"/>
          </w:tcPr>
          <w:p w14:paraId="7B132DE3">
            <w:pPr>
              <w:snapToGrid w:val="0"/>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p>
        </w:tc>
        <w:tc>
          <w:tcPr>
            <w:tcW w:w="4500" w:type="dxa"/>
            <w:vMerge w:val="continue"/>
            <w:vAlign w:val="center"/>
          </w:tcPr>
          <w:p w14:paraId="07BFAC0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950" w:type="dxa"/>
            <w:vMerge w:val="continue"/>
            <w:vAlign w:val="center"/>
          </w:tcPr>
          <w:p w14:paraId="5F11367E">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1038" w:type="dxa"/>
            <w:vMerge w:val="continue"/>
            <w:vAlign w:val="center"/>
          </w:tcPr>
          <w:p w14:paraId="7335803A">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437" w:type="dxa"/>
            <w:shd w:val="clear" w:color="auto" w:fill="auto"/>
            <w:vAlign w:val="center"/>
          </w:tcPr>
          <w:p w14:paraId="6B07CDBF">
            <w:pPr>
              <w:keepNext w:val="0"/>
              <w:keepLines w:val="0"/>
              <w:widowControl/>
              <w:suppressLineNumbers w:val="0"/>
              <w:snapToGrid w:val="0"/>
              <w:ind w:left="0" w:leftChars="0" w:right="0" w:rightChars="0" w:firstLine="0" w:firstLineChars="0"/>
              <w:jc w:val="center"/>
              <w:textAlignment w:val="center"/>
              <w:rPr>
                <w:rFonts w:hint="eastAsia" w:ascii="仿宋_GB2312" w:hAnsi="Times New Roman" w:eastAsia="仿宋_GB2312" w:cs="Times New Roman"/>
                <w:i w:val="0"/>
                <w:iCs w:val="0"/>
                <w:color w:val="000000"/>
                <w:kern w:val="0"/>
                <w:sz w:val="20"/>
                <w:szCs w:val="20"/>
                <w:u w:val="none"/>
                <w:lang w:val="en-US" w:eastAsia="zh-CN" w:bidi="ar"/>
              </w:rPr>
            </w:pPr>
            <w:r>
              <w:rPr>
                <w:rFonts w:hint="eastAsia" w:ascii="仿宋_GB2312" w:hAnsi="Times New Roman" w:eastAsia="仿宋_GB2312" w:cs="Times New Roman"/>
                <w:i w:val="0"/>
                <w:iCs w:val="0"/>
                <w:color w:val="000000"/>
                <w:kern w:val="0"/>
                <w:sz w:val="20"/>
                <w:szCs w:val="20"/>
                <w:u w:val="none"/>
                <w:lang w:val="en-US" w:eastAsia="zh-CN" w:bidi="ar"/>
              </w:rPr>
              <w:t>/</w:t>
            </w:r>
          </w:p>
        </w:tc>
        <w:tc>
          <w:tcPr>
            <w:tcW w:w="3344" w:type="dxa"/>
            <w:shd w:val="clear" w:color="auto" w:fill="auto"/>
            <w:vAlign w:val="center"/>
          </w:tcPr>
          <w:p w14:paraId="2CC90480">
            <w:pPr>
              <w:snapToGrid w:val="0"/>
              <w:ind w:left="0" w:leftChars="0" w:right="0" w:rightChars="0" w:firstLine="0" w:firstLineChars="0"/>
              <w:jc w:val="both"/>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城市照明设施迁移、拆除审批</w:t>
            </w:r>
          </w:p>
        </w:tc>
        <w:tc>
          <w:tcPr>
            <w:tcW w:w="444" w:type="dxa"/>
            <w:gridSpan w:val="2"/>
            <w:vMerge w:val="continue"/>
            <w:vAlign w:val="center"/>
          </w:tcPr>
          <w:p w14:paraId="2B04E724">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r>
    </w:tbl>
    <w:p w14:paraId="2DBC6F0D">
      <w:pPr>
        <w:rPr>
          <w:rFonts w:ascii="Calibri" w:hAnsi="Calibri" w:eastAsia="宋体" w:cs="Calibri"/>
        </w:rPr>
      </w:pPr>
    </w:p>
    <w:p w14:paraId="688DA6B7">
      <w:pPr>
        <w:rPr>
          <w:rFonts w:ascii="Calibri" w:hAnsi="Calibri" w:eastAsia="宋体" w:cs="Calibri"/>
        </w:rPr>
      </w:pPr>
      <w:r>
        <w:rPr>
          <w:rFonts w:ascii="Calibri" w:hAnsi="Calibri" w:eastAsia="宋体" w:cs="Calibri"/>
        </w:rPr>
        <w:br w:type="page"/>
      </w:r>
    </w:p>
    <w:p w14:paraId="25D26294">
      <w:pPr>
        <w:pStyle w:val="7"/>
      </w:pPr>
    </w:p>
    <w:tbl>
      <w:tblPr>
        <w:tblStyle w:val="4"/>
        <w:tblW w:w="15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962"/>
        <w:gridCol w:w="663"/>
        <w:gridCol w:w="675"/>
        <w:gridCol w:w="1162"/>
        <w:gridCol w:w="6376"/>
        <w:gridCol w:w="1038"/>
        <w:gridCol w:w="975"/>
        <w:gridCol w:w="1575"/>
        <w:gridCol w:w="1322"/>
        <w:gridCol w:w="474"/>
      </w:tblGrid>
      <w:tr w14:paraId="1180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jc w:val="center"/>
        </w:trPr>
        <w:tc>
          <w:tcPr>
            <w:tcW w:w="536" w:type="dxa"/>
            <w:vMerge w:val="restart"/>
            <w:shd w:val="clear" w:color="auto" w:fill="auto"/>
            <w:vAlign w:val="center"/>
          </w:tcPr>
          <w:p w14:paraId="378EBA50">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序号</w:t>
            </w:r>
          </w:p>
        </w:tc>
        <w:tc>
          <w:tcPr>
            <w:tcW w:w="962" w:type="dxa"/>
            <w:vMerge w:val="restart"/>
            <w:shd w:val="clear" w:color="auto" w:fill="auto"/>
            <w:vAlign w:val="center"/>
          </w:tcPr>
          <w:p w14:paraId="3764C057">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3F3A048C">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事项</w:t>
            </w:r>
          </w:p>
        </w:tc>
        <w:tc>
          <w:tcPr>
            <w:tcW w:w="663" w:type="dxa"/>
            <w:vMerge w:val="restart"/>
            <w:shd w:val="clear" w:color="auto" w:fill="auto"/>
            <w:vAlign w:val="center"/>
          </w:tcPr>
          <w:p w14:paraId="7C1F0470">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检查主体</w:t>
            </w:r>
          </w:p>
        </w:tc>
        <w:tc>
          <w:tcPr>
            <w:tcW w:w="675" w:type="dxa"/>
            <w:vMerge w:val="restart"/>
            <w:shd w:val="clear" w:color="auto" w:fill="auto"/>
            <w:vAlign w:val="center"/>
          </w:tcPr>
          <w:p w14:paraId="66BCFD4C">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检查机构</w:t>
            </w:r>
          </w:p>
        </w:tc>
        <w:tc>
          <w:tcPr>
            <w:tcW w:w="1162" w:type="dxa"/>
            <w:vMerge w:val="restart"/>
            <w:shd w:val="clear" w:color="auto" w:fill="auto"/>
            <w:vAlign w:val="center"/>
          </w:tcPr>
          <w:p w14:paraId="41225AF0">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56962DC6">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对象</w:t>
            </w:r>
          </w:p>
        </w:tc>
        <w:tc>
          <w:tcPr>
            <w:tcW w:w="6376" w:type="dxa"/>
            <w:vMerge w:val="restart"/>
            <w:shd w:val="clear" w:color="auto" w:fill="auto"/>
            <w:vAlign w:val="center"/>
          </w:tcPr>
          <w:p w14:paraId="153D5A0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Times New Roman" w:eastAsia="黑体" w:cs="Calibri"/>
                <w:b w:val="0"/>
                <w:bCs/>
                <w:kern w:val="0"/>
                <w:sz w:val="22"/>
                <w:szCs w:val="22"/>
              </w:rPr>
              <w:t>检查依据</w:t>
            </w:r>
          </w:p>
        </w:tc>
        <w:tc>
          <w:tcPr>
            <w:tcW w:w="1038" w:type="dxa"/>
            <w:vMerge w:val="restart"/>
            <w:shd w:val="clear" w:color="auto" w:fill="auto"/>
            <w:vAlign w:val="center"/>
          </w:tcPr>
          <w:p w14:paraId="64136DA5">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0F4AA52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方式</w:t>
            </w:r>
          </w:p>
        </w:tc>
        <w:tc>
          <w:tcPr>
            <w:tcW w:w="975" w:type="dxa"/>
            <w:vMerge w:val="restart"/>
            <w:shd w:val="clear" w:color="auto" w:fill="auto"/>
            <w:vAlign w:val="center"/>
          </w:tcPr>
          <w:p w14:paraId="026ADB60">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检查频次</w:t>
            </w:r>
          </w:p>
          <w:p w14:paraId="370F48F1">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（时间）</w:t>
            </w:r>
          </w:p>
        </w:tc>
        <w:tc>
          <w:tcPr>
            <w:tcW w:w="2897" w:type="dxa"/>
            <w:gridSpan w:val="2"/>
            <w:shd w:val="clear" w:color="auto" w:fill="auto"/>
            <w:vAlign w:val="center"/>
          </w:tcPr>
          <w:p w14:paraId="767EB453">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对应的行政权力事项</w:t>
            </w:r>
          </w:p>
        </w:tc>
        <w:tc>
          <w:tcPr>
            <w:tcW w:w="474" w:type="dxa"/>
            <w:vMerge w:val="restart"/>
            <w:vAlign w:val="center"/>
          </w:tcPr>
          <w:p w14:paraId="6D0B068D">
            <w:pPr>
              <w:snapToGrid w:val="0"/>
              <w:ind w:left="0" w:leftChars="0" w:right="0" w:rightChars="0" w:firstLine="0" w:firstLineChars="0"/>
              <w:jc w:val="center"/>
              <w:rPr>
                <w:rFonts w:hint="eastAsia" w:ascii="仿宋_GB2312" w:hAnsi="仿宋_GB2312" w:eastAsia="仿宋_GB2312" w:cs="仿宋_GB2312"/>
                <w:b/>
                <w:color w:val="auto"/>
                <w:kern w:val="0"/>
                <w:sz w:val="22"/>
                <w:szCs w:val="22"/>
              </w:rPr>
            </w:pPr>
            <w:r>
              <w:rPr>
                <w:rFonts w:ascii="Times New Roman" w:hAnsi="黑体" w:eastAsia="黑体" w:cs="Calibri"/>
                <w:b w:val="0"/>
                <w:bCs/>
                <w:kern w:val="0"/>
                <w:sz w:val="22"/>
                <w:szCs w:val="22"/>
              </w:rPr>
              <w:t>备注</w:t>
            </w:r>
          </w:p>
        </w:tc>
      </w:tr>
      <w:tr w14:paraId="02C9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jc w:val="center"/>
        </w:trPr>
        <w:tc>
          <w:tcPr>
            <w:tcW w:w="536" w:type="dxa"/>
            <w:vMerge w:val="continue"/>
            <w:shd w:val="clear" w:color="auto" w:fill="auto"/>
            <w:vAlign w:val="center"/>
          </w:tcPr>
          <w:p w14:paraId="315CC039">
            <w:pPr>
              <w:snapToGrid w:val="0"/>
              <w:ind w:left="0" w:leftChars="0" w:right="0" w:rightChars="0" w:firstLine="0" w:firstLineChars="0"/>
              <w:jc w:val="center"/>
              <w:rPr>
                <w:rFonts w:ascii="Calibri" w:hAnsi="Calibri" w:eastAsia="宋体" w:cs="Calibri"/>
              </w:rPr>
            </w:pPr>
          </w:p>
        </w:tc>
        <w:tc>
          <w:tcPr>
            <w:tcW w:w="962" w:type="dxa"/>
            <w:vMerge w:val="continue"/>
            <w:shd w:val="clear" w:color="auto" w:fill="auto"/>
            <w:vAlign w:val="center"/>
          </w:tcPr>
          <w:p w14:paraId="083EF6A5">
            <w:pPr>
              <w:snapToGrid w:val="0"/>
              <w:ind w:left="0" w:leftChars="0" w:right="0" w:rightChars="0" w:firstLine="0" w:firstLineChars="0"/>
              <w:jc w:val="center"/>
              <w:rPr>
                <w:rFonts w:ascii="Calibri" w:hAnsi="Calibri" w:eastAsia="宋体" w:cs="Calibri"/>
              </w:rPr>
            </w:pPr>
          </w:p>
        </w:tc>
        <w:tc>
          <w:tcPr>
            <w:tcW w:w="663" w:type="dxa"/>
            <w:vMerge w:val="continue"/>
            <w:shd w:val="clear" w:color="auto" w:fill="auto"/>
            <w:vAlign w:val="center"/>
          </w:tcPr>
          <w:p w14:paraId="65D90DC6">
            <w:pPr>
              <w:snapToGrid w:val="0"/>
              <w:ind w:left="0" w:leftChars="0" w:right="0" w:rightChars="0" w:firstLine="0" w:firstLineChars="0"/>
              <w:jc w:val="center"/>
              <w:rPr>
                <w:rFonts w:ascii="Calibri" w:hAnsi="Calibri" w:eastAsia="宋体" w:cs="Calibri"/>
              </w:rPr>
            </w:pPr>
          </w:p>
        </w:tc>
        <w:tc>
          <w:tcPr>
            <w:tcW w:w="675" w:type="dxa"/>
            <w:vMerge w:val="continue"/>
            <w:shd w:val="clear" w:color="auto" w:fill="auto"/>
            <w:vAlign w:val="center"/>
          </w:tcPr>
          <w:p w14:paraId="3CB5ECD1">
            <w:pPr>
              <w:snapToGrid w:val="0"/>
              <w:ind w:left="0" w:leftChars="0" w:right="0" w:rightChars="0" w:firstLine="0" w:firstLineChars="0"/>
              <w:jc w:val="center"/>
              <w:rPr>
                <w:rFonts w:ascii="Calibri" w:hAnsi="Calibri" w:eastAsia="宋体" w:cs="Calibri"/>
              </w:rPr>
            </w:pPr>
          </w:p>
        </w:tc>
        <w:tc>
          <w:tcPr>
            <w:tcW w:w="1162" w:type="dxa"/>
            <w:vMerge w:val="continue"/>
            <w:shd w:val="clear" w:color="auto" w:fill="auto"/>
            <w:vAlign w:val="center"/>
          </w:tcPr>
          <w:p w14:paraId="2D9C555C">
            <w:pPr>
              <w:snapToGrid w:val="0"/>
              <w:ind w:left="0" w:leftChars="0" w:right="0" w:rightChars="0" w:firstLine="0" w:firstLineChars="0"/>
              <w:jc w:val="center"/>
              <w:rPr>
                <w:rFonts w:ascii="Calibri" w:hAnsi="Calibri" w:eastAsia="宋体" w:cs="Calibri"/>
              </w:rPr>
            </w:pPr>
          </w:p>
        </w:tc>
        <w:tc>
          <w:tcPr>
            <w:tcW w:w="6376" w:type="dxa"/>
            <w:vMerge w:val="continue"/>
            <w:shd w:val="clear" w:color="auto" w:fill="auto"/>
            <w:vAlign w:val="center"/>
          </w:tcPr>
          <w:p w14:paraId="7C262753">
            <w:pPr>
              <w:snapToGrid w:val="0"/>
              <w:ind w:left="0" w:leftChars="0" w:right="0" w:rightChars="0" w:firstLine="0" w:firstLineChars="0"/>
              <w:jc w:val="center"/>
              <w:rPr>
                <w:rFonts w:ascii="Calibri" w:hAnsi="Calibri" w:eastAsia="宋体" w:cs="Calibri"/>
              </w:rPr>
            </w:pPr>
          </w:p>
        </w:tc>
        <w:tc>
          <w:tcPr>
            <w:tcW w:w="1038" w:type="dxa"/>
            <w:vMerge w:val="continue"/>
            <w:shd w:val="clear" w:color="auto" w:fill="auto"/>
            <w:vAlign w:val="center"/>
          </w:tcPr>
          <w:p w14:paraId="4713A162">
            <w:pPr>
              <w:snapToGrid w:val="0"/>
              <w:ind w:left="0" w:leftChars="0" w:right="0" w:rightChars="0" w:firstLine="0" w:firstLineChars="0"/>
              <w:jc w:val="center"/>
              <w:rPr>
                <w:rFonts w:ascii="Calibri" w:hAnsi="Calibri" w:eastAsia="宋体" w:cs="Calibri"/>
              </w:rPr>
            </w:pPr>
          </w:p>
        </w:tc>
        <w:tc>
          <w:tcPr>
            <w:tcW w:w="975" w:type="dxa"/>
            <w:vMerge w:val="continue"/>
            <w:shd w:val="clear" w:color="auto" w:fill="auto"/>
            <w:vAlign w:val="center"/>
          </w:tcPr>
          <w:p w14:paraId="77DF983A">
            <w:pPr>
              <w:snapToGrid w:val="0"/>
              <w:ind w:left="0" w:leftChars="0" w:right="0" w:rightChars="0" w:firstLine="0" w:firstLineChars="0"/>
              <w:jc w:val="center"/>
              <w:rPr>
                <w:rFonts w:ascii="Calibri" w:hAnsi="Calibri" w:eastAsia="宋体" w:cs="Calibri"/>
              </w:rPr>
            </w:pPr>
          </w:p>
        </w:tc>
        <w:tc>
          <w:tcPr>
            <w:tcW w:w="1575" w:type="dxa"/>
            <w:shd w:val="clear" w:color="auto" w:fill="auto"/>
            <w:vAlign w:val="center"/>
          </w:tcPr>
          <w:p w14:paraId="06A1CFAD">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权力编码</w:t>
            </w:r>
          </w:p>
        </w:tc>
        <w:tc>
          <w:tcPr>
            <w:tcW w:w="1322" w:type="dxa"/>
            <w:shd w:val="clear" w:color="auto" w:fill="auto"/>
            <w:vAlign w:val="center"/>
          </w:tcPr>
          <w:p w14:paraId="2CB80259">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权力名称</w:t>
            </w:r>
          </w:p>
        </w:tc>
        <w:tc>
          <w:tcPr>
            <w:tcW w:w="474" w:type="dxa"/>
            <w:vMerge w:val="continue"/>
            <w:vAlign w:val="center"/>
          </w:tcPr>
          <w:p w14:paraId="71762987">
            <w:pPr>
              <w:snapToGrid w:val="0"/>
              <w:ind w:left="0" w:leftChars="0" w:right="0" w:rightChars="0" w:firstLine="0" w:firstLineChars="0"/>
              <w:jc w:val="center"/>
              <w:rPr>
                <w:rFonts w:ascii="Times New Roman" w:hAnsi="黑体" w:eastAsia="黑体" w:cs="Calibri"/>
                <w:b w:val="0"/>
                <w:bCs/>
                <w:kern w:val="0"/>
                <w:sz w:val="24"/>
                <w:szCs w:val="24"/>
              </w:rPr>
            </w:pPr>
          </w:p>
        </w:tc>
      </w:tr>
      <w:tr w14:paraId="3CD8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6" w:type="dxa"/>
            <w:vAlign w:val="center"/>
          </w:tcPr>
          <w:p w14:paraId="37C273B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2.1</w:t>
            </w:r>
          </w:p>
        </w:tc>
        <w:tc>
          <w:tcPr>
            <w:tcW w:w="962" w:type="dxa"/>
            <w:shd w:val="clear" w:color="auto" w:fill="auto"/>
            <w:vAlign w:val="center"/>
          </w:tcPr>
          <w:p w14:paraId="64F837C9">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shd w:val="clear" w:color="auto" w:fill="auto"/>
            <w:vAlign w:val="center"/>
          </w:tcPr>
          <w:p w14:paraId="07C06D69">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675" w:type="dxa"/>
            <w:shd w:val="clear" w:color="auto" w:fill="auto"/>
            <w:vAlign w:val="center"/>
          </w:tcPr>
          <w:p w14:paraId="13AC956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1162" w:type="dxa"/>
            <w:vAlign w:val="center"/>
          </w:tcPr>
          <w:p w14:paraId="03FEC8E4">
            <w:pPr>
              <w:snapToGrid w:val="0"/>
              <w:ind w:left="0" w:leftChars="0" w:right="0" w:rightChars="0" w:firstLine="0" w:firstLineChars="0"/>
              <w:jc w:val="both"/>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shd w:val="clear" w:color="auto" w:fill="FFFFFF"/>
                <w:lang w:val="en-US" w:eastAsia="zh-CN"/>
              </w:rPr>
              <w:t>市容环卫责任人；经批准或者疏导临时占用道路、公共广场或者其他公共场地摆摊设点的单位和个人</w:t>
            </w:r>
          </w:p>
        </w:tc>
        <w:tc>
          <w:tcPr>
            <w:tcW w:w="6376" w:type="dxa"/>
            <w:vAlign w:val="center"/>
          </w:tcPr>
          <w:p w14:paraId="7532BA9A">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《苏州市城市市容和环境卫生管理条例》</w:t>
            </w:r>
          </w:p>
          <w:p w14:paraId="0ADA0833">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rPr>
              <w:t>第五条第一款　城市管理行政主管部门负责本行政区域内的市容环卫管理工作。</w:t>
            </w:r>
          </w:p>
          <w:p w14:paraId="0E3B8A5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第十一条第一款　本市市容环卫管理工作实行责任区制度。市容环卫责任人应当在确定的责任区内履行市容环卫责任。</w:t>
            </w:r>
          </w:p>
          <w:p w14:paraId="11F51BA8">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第十二条　市容环卫责任区的责任要求：</w:t>
            </w:r>
          </w:p>
          <w:p w14:paraId="2D5C763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（一）保持市容整洁，无乱设摊、乱搭建、乱张贴、乱涂写、乱刻画、乱吊挂、乱堆放、乱停车辆等行为；</w:t>
            </w:r>
          </w:p>
          <w:p w14:paraId="60F20BDC">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（二）保持环境卫生整洁，无暴露垃圾、粪便、渣土、污水、污迹和废弃物等；</w:t>
            </w:r>
          </w:p>
          <w:p w14:paraId="79E9F81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（三）保持市容环卫设施整洁、完好。</w:t>
            </w:r>
          </w:p>
          <w:p w14:paraId="3EB51100">
            <w:pPr>
              <w:snapToGrid w:val="0"/>
              <w:ind w:left="0" w:leftChars="0" w:right="0" w:rightChars="0" w:firstLine="0" w:firstLineChars="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shd w:val="clear" w:color="auto" w:fill="FFFFFF"/>
              </w:rPr>
              <w:t>第二十一条</w:t>
            </w:r>
            <w:r>
              <w:rPr>
                <w:rFonts w:hint="eastAsia" w:ascii="仿宋_GB2312" w:hAnsi="仿宋_GB2312" w:eastAsia="仿宋_GB2312" w:cs="仿宋_GB2312"/>
                <w:color w:val="auto"/>
                <w:kern w:val="0"/>
                <w:sz w:val="20"/>
                <w:szCs w:val="20"/>
                <w:shd w:val="clear" w:color="auto" w:fill="FFFFFF"/>
                <w:lang w:val="en-US" w:eastAsia="zh-CN"/>
              </w:rPr>
              <w:t xml:space="preserve">第一款 </w:t>
            </w:r>
            <w:r>
              <w:rPr>
                <w:rFonts w:hint="eastAsia" w:ascii="仿宋_GB2312" w:hAnsi="仿宋_GB2312" w:eastAsia="仿宋_GB2312" w:cs="仿宋_GB2312"/>
                <w:color w:val="auto"/>
                <w:kern w:val="0"/>
                <w:sz w:val="20"/>
                <w:szCs w:val="20"/>
                <w:shd w:val="clear" w:color="auto" w:fill="FFFFFF"/>
              </w:rPr>
              <w:t>经批准或者疏导临时占用道路、公共广场或者其他公共场地摆摊设点的，经营者应当按照规定的时间、区域经营并保持场地及周围环境卫生、整洁、有序。</w:t>
            </w:r>
          </w:p>
        </w:tc>
        <w:tc>
          <w:tcPr>
            <w:tcW w:w="1038" w:type="dxa"/>
            <w:vAlign w:val="center"/>
          </w:tcPr>
          <w:p w14:paraId="5331590B">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75" w:type="dxa"/>
            <w:vAlign w:val="center"/>
          </w:tcPr>
          <w:p w14:paraId="663F6BDA">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对同一企业或项目：原则上不超过一次</w:t>
            </w:r>
          </w:p>
        </w:tc>
        <w:tc>
          <w:tcPr>
            <w:tcW w:w="1575" w:type="dxa"/>
            <w:vAlign w:val="center"/>
          </w:tcPr>
          <w:p w14:paraId="4DD007E7">
            <w:pPr>
              <w:snapToGrid w:val="0"/>
              <w:ind w:left="0" w:leftChars="0" w:right="0" w:rightChars="0" w:firstLine="0" w:firstLineChars="0"/>
              <w:jc w:val="center"/>
              <w:rPr>
                <w:rFonts w:hint="eastAsia" w:ascii="仿宋_GB2312" w:hAnsi="仿宋_GB2312" w:eastAsia="仿宋_GB2312" w:cs="仿宋_GB2312"/>
                <w:bCs/>
                <w:color w:val="auto"/>
                <w:kern w:val="0"/>
                <w:sz w:val="20"/>
                <w:szCs w:val="20"/>
                <w:lang w:val="en-US" w:eastAsia="zh-CN"/>
              </w:rPr>
            </w:pPr>
            <w:r>
              <w:rPr>
                <w:rFonts w:hint="eastAsia" w:ascii="仿宋_GB2312" w:hAnsi="仿宋_GB2312" w:eastAsia="仿宋_GB2312" w:cs="仿宋_GB2312"/>
                <w:bCs/>
                <w:color w:val="auto"/>
                <w:kern w:val="0"/>
                <w:sz w:val="20"/>
                <w:szCs w:val="20"/>
                <w:lang w:val="en-US" w:eastAsia="zh-CN"/>
              </w:rPr>
              <w:t>/</w:t>
            </w:r>
          </w:p>
        </w:tc>
        <w:tc>
          <w:tcPr>
            <w:tcW w:w="1322" w:type="dxa"/>
            <w:vAlign w:val="center"/>
          </w:tcPr>
          <w:p w14:paraId="75BFBDAA">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i w:val="0"/>
                <w:iCs w:val="0"/>
                <w:color w:val="auto"/>
                <w:kern w:val="0"/>
                <w:sz w:val="20"/>
                <w:szCs w:val="20"/>
                <w:u w:val="none"/>
                <w:lang w:val="en-US" w:eastAsia="zh-CN" w:bidi="ar"/>
              </w:rPr>
            </w:pPr>
            <w:r>
              <w:rPr>
                <w:rFonts w:hint="eastAsia" w:ascii="仿宋_GB2312" w:hAnsi="仿宋_GB2312" w:eastAsia="仿宋_GB2312" w:cs="仿宋_GB2312"/>
                <w:i w:val="0"/>
                <w:iCs w:val="0"/>
                <w:color w:val="auto"/>
                <w:kern w:val="0"/>
                <w:sz w:val="20"/>
                <w:szCs w:val="20"/>
                <w:u w:val="none"/>
                <w:lang w:val="en-US" w:eastAsia="zh-CN" w:bidi="ar"/>
              </w:rPr>
              <w:t>/</w:t>
            </w:r>
          </w:p>
        </w:tc>
        <w:tc>
          <w:tcPr>
            <w:tcW w:w="474" w:type="dxa"/>
            <w:vAlign w:val="center"/>
          </w:tcPr>
          <w:p w14:paraId="282C053D">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2476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6" w:type="dxa"/>
            <w:vAlign w:val="center"/>
          </w:tcPr>
          <w:p w14:paraId="1D784600">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2.2</w:t>
            </w:r>
          </w:p>
        </w:tc>
        <w:tc>
          <w:tcPr>
            <w:tcW w:w="962" w:type="dxa"/>
            <w:shd w:val="clear" w:color="auto" w:fill="auto"/>
            <w:vAlign w:val="center"/>
          </w:tcPr>
          <w:p w14:paraId="3F3914C9">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shd w:val="clear" w:color="auto" w:fill="auto"/>
            <w:vAlign w:val="center"/>
          </w:tcPr>
          <w:p w14:paraId="77C585D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675" w:type="dxa"/>
            <w:shd w:val="clear" w:color="auto" w:fill="auto"/>
            <w:vAlign w:val="center"/>
          </w:tcPr>
          <w:p w14:paraId="02D18542">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1162" w:type="dxa"/>
            <w:vAlign w:val="center"/>
          </w:tcPr>
          <w:p w14:paraId="6A217AE0">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shd w:val="clear" w:color="auto" w:fill="FFFFFF"/>
                <w:lang w:val="en-US" w:eastAsia="zh-CN"/>
              </w:rPr>
              <w:t>设置户外广告设施、</w:t>
            </w:r>
            <w:r>
              <w:rPr>
                <w:rFonts w:hint="eastAsia" w:ascii="仿宋_GB2312" w:hAnsi="仿宋_GB2312" w:eastAsia="仿宋_GB2312" w:cs="仿宋_GB2312"/>
                <w:color w:val="auto"/>
                <w:kern w:val="0"/>
                <w:sz w:val="20"/>
                <w:szCs w:val="20"/>
                <w:shd w:val="clear" w:color="auto" w:fill="FFFFFF"/>
                <w:lang w:val="en-US" w:eastAsia="zh-CN" w:bidi="ar-SA"/>
              </w:rPr>
              <w:t>户外招牌设施</w:t>
            </w:r>
            <w:r>
              <w:rPr>
                <w:rFonts w:hint="eastAsia" w:ascii="仿宋_GB2312" w:hAnsi="仿宋_GB2312" w:eastAsia="仿宋_GB2312" w:cs="仿宋_GB2312"/>
                <w:color w:val="auto"/>
                <w:kern w:val="0"/>
                <w:sz w:val="20"/>
                <w:szCs w:val="20"/>
                <w:shd w:val="clear" w:color="auto" w:fill="FFFFFF"/>
                <w:lang w:val="en-US" w:eastAsia="zh-CN"/>
              </w:rPr>
              <w:t>的单位或个人</w:t>
            </w:r>
          </w:p>
        </w:tc>
        <w:tc>
          <w:tcPr>
            <w:tcW w:w="6376" w:type="dxa"/>
            <w:vAlign w:val="center"/>
          </w:tcPr>
          <w:p w14:paraId="467A6E05">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lang w:eastAsia="zh-CN"/>
              </w:rPr>
            </w:pPr>
            <w:r>
              <w:rPr>
                <w:rFonts w:hint="eastAsia" w:ascii="仿宋_GB2312" w:hAnsi="仿宋_GB2312" w:eastAsia="仿宋_GB2312" w:cs="仿宋_GB2312"/>
                <w:color w:val="auto"/>
                <w:kern w:val="0"/>
                <w:sz w:val="20"/>
                <w:szCs w:val="20"/>
                <w:shd w:val="clear" w:color="auto" w:fill="FFFFFF"/>
                <w:lang w:eastAsia="zh-CN"/>
              </w:rPr>
              <w:t>《苏州市城市市容和环境卫生管理条例》</w:t>
            </w:r>
          </w:p>
          <w:p w14:paraId="4B94B411">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rPr>
              <w:t>第五条第一款　城市管理行政主管部门负责本行政区域内的市容环卫管理工作。</w:t>
            </w:r>
          </w:p>
          <w:p w14:paraId="572D93A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第二十五条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户外广告设施应当按照相关专项规划和规定的要求、期限设置，保持安全、整洁、完好。出现损毁、污染、内容显示不完整等影响市容情形以及存在安全隐患的，所有人或者管理人应当及时修复、更换、清洗或者拆除。</w:t>
            </w:r>
          </w:p>
          <w:p w14:paraId="4C17EFA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户外广告设施设置期满的，所有人或者管理人应当拆除并恢复设置载体原状。</w:t>
            </w:r>
          </w:p>
          <w:p w14:paraId="51F5FE54">
            <w:pPr>
              <w:pStyle w:val="7"/>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lang w:val="en-US" w:eastAsia="zh-CN" w:bidi="ar-SA"/>
              </w:rPr>
            </w:pPr>
            <w:r>
              <w:rPr>
                <w:rFonts w:hint="eastAsia" w:ascii="仿宋_GB2312" w:hAnsi="仿宋_GB2312" w:eastAsia="仿宋_GB2312" w:cs="仿宋_GB2312"/>
                <w:color w:val="auto"/>
                <w:kern w:val="0"/>
                <w:sz w:val="20"/>
                <w:szCs w:val="20"/>
                <w:shd w:val="clear" w:color="auto" w:fill="FFFFFF"/>
                <w:lang w:val="en-US" w:eastAsia="zh-CN" w:bidi="ar-SA"/>
              </w:rPr>
              <w:t>第二十六条  大型户外广告的设置应当征得城市管理行政主管部门同意后，按照有关规定办理审批手续。</w:t>
            </w:r>
          </w:p>
          <w:p w14:paraId="7DCB8995">
            <w:pPr>
              <w:pStyle w:val="7"/>
              <w:snapToGrid w:val="0"/>
              <w:ind w:left="0" w:leftChars="0" w:right="0" w:rightChars="0" w:firstLine="0" w:firstLineChars="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shd w:val="clear" w:color="auto" w:fill="FFFFFF"/>
                <w:lang w:val="en-US" w:eastAsia="zh-CN" w:bidi="ar-SA"/>
              </w:rPr>
              <w:t>第二十七条  户外招牌设施以及路名牌、交通指示牌等标识，应当符合国家和省相关标准，并与周围景观相协调。出现损毁、污染的，所有人或者管理人应当及时修复、更换、清洗。</w:t>
            </w:r>
          </w:p>
        </w:tc>
        <w:tc>
          <w:tcPr>
            <w:tcW w:w="1038" w:type="dxa"/>
            <w:vAlign w:val="center"/>
          </w:tcPr>
          <w:p w14:paraId="1198F24F">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75" w:type="dxa"/>
            <w:vAlign w:val="center"/>
          </w:tcPr>
          <w:p w14:paraId="03E9F8D2">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575" w:type="dxa"/>
            <w:vAlign w:val="center"/>
          </w:tcPr>
          <w:p w14:paraId="0E485EB5">
            <w:pPr>
              <w:snapToGrid w:val="0"/>
              <w:ind w:left="0" w:leftChars="0" w:right="0" w:rightChars="0" w:firstLine="0" w:firstLineChars="0"/>
              <w:jc w:val="center"/>
              <w:rPr>
                <w:rFonts w:hint="eastAsia" w:ascii="仿宋_GB2312" w:hAnsi="仿宋_GB2312" w:eastAsia="仿宋_GB2312" w:cs="仿宋_GB2312"/>
                <w:bCs/>
                <w:color w:val="auto"/>
                <w:kern w:val="0"/>
                <w:sz w:val="20"/>
                <w:szCs w:val="20"/>
                <w:lang w:val="en-US" w:eastAsia="zh-CN"/>
              </w:rPr>
            </w:pPr>
            <w:r>
              <w:rPr>
                <w:rFonts w:hint="eastAsia" w:ascii="仿宋_GB2312" w:hAnsi="仿宋_GB2312" w:eastAsia="仿宋_GB2312" w:cs="仿宋_GB2312"/>
                <w:bCs/>
                <w:color w:val="auto"/>
                <w:kern w:val="0"/>
                <w:sz w:val="20"/>
                <w:szCs w:val="20"/>
                <w:lang w:val="en-US" w:eastAsia="zh-CN"/>
              </w:rPr>
              <w:t>/</w:t>
            </w:r>
          </w:p>
        </w:tc>
        <w:tc>
          <w:tcPr>
            <w:tcW w:w="1322" w:type="dxa"/>
            <w:vAlign w:val="center"/>
          </w:tcPr>
          <w:p w14:paraId="7913741E">
            <w:pPr>
              <w:snapToGrid w:val="0"/>
              <w:ind w:left="0" w:leftChars="0" w:right="0" w:rightChars="0" w:firstLine="0" w:firstLineChars="0"/>
              <w:jc w:val="left"/>
              <w:rPr>
                <w:rFonts w:hint="eastAsia" w:ascii="仿宋_GB2312" w:hAnsi="仿宋_GB2312" w:eastAsia="仿宋_GB2312" w:cs="仿宋_GB2312"/>
                <w:i w:val="0"/>
                <w:iCs w:val="0"/>
                <w:color w:val="auto"/>
                <w:kern w:val="0"/>
                <w:sz w:val="20"/>
                <w:szCs w:val="20"/>
                <w:u w:val="none"/>
                <w:lang w:val="en-US" w:eastAsia="zh-CN" w:bidi="ar"/>
              </w:rPr>
            </w:pPr>
            <w:r>
              <w:rPr>
                <w:rFonts w:hint="eastAsia" w:ascii="仿宋_GB2312" w:hAnsi="仿宋_GB2312" w:eastAsia="仿宋_GB2312" w:cs="仿宋_GB2312"/>
                <w:color w:val="auto"/>
                <w:kern w:val="0"/>
                <w:sz w:val="20"/>
                <w:szCs w:val="20"/>
                <w:lang w:val="en-US" w:eastAsia="zh-CN"/>
              </w:rPr>
              <w:t>对户外广告设施设置期满，所有人或者管理人未拆除并恢复设置载体原状的处罚</w:t>
            </w:r>
          </w:p>
        </w:tc>
        <w:tc>
          <w:tcPr>
            <w:tcW w:w="474" w:type="dxa"/>
            <w:vAlign w:val="center"/>
          </w:tcPr>
          <w:p w14:paraId="26C09BC6">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5BEA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36" w:type="dxa"/>
            <w:vAlign w:val="center"/>
          </w:tcPr>
          <w:p w14:paraId="51721B4C">
            <w:pPr>
              <w:snapToGrid w:val="0"/>
              <w:ind w:left="0" w:leftChars="0" w:right="0" w:rightChars="0" w:firstLine="0" w:firstLineChars="0"/>
              <w:jc w:val="center"/>
              <w:rPr>
                <w:rFonts w:hint="default"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2.2</w:t>
            </w:r>
          </w:p>
        </w:tc>
        <w:tc>
          <w:tcPr>
            <w:tcW w:w="962" w:type="dxa"/>
            <w:shd w:val="clear" w:color="auto" w:fill="auto"/>
            <w:vAlign w:val="center"/>
          </w:tcPr>
          <w:p w14:paraId="14DEECD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kern w:val="0"/>
                <w:sz w:val="20"/>
                <w:szCs w:val="20"/>
              </w:rPr>
              <w:t>对城市市容和环境卫生相关行为的行政检查</w:t>
            </w:r>
            <w:r>
              <w:rPr>
                <w:rFonts w:hint="eastAsia" w:ascii="仿宋_GB2312" w:hAnsi="仿宋_GB2312" w:eastAsia="仿宋_GB2312" w:cs="仿宋_GB2312"/>
                <w:color w:val="auto"/>
                <w:kern w:val="0"/>
                <w:sz w:val="20"/>
                <w:szCs w:val="20"/>
                <w:lang w:eastAsia="zh-CN"/>
              </w:rPr>
              <w:t>（</w:t>
            </w:r>
            <w:r>
              <w:rPr>
                <w:rFonts w:hint="eastAsia" w:ascii="仿宋_GB2312" w:hAnsi="仿宋_GB2312" w:eastAsia="仿宋_GB2312" w:cs="仿宋_GB2312"/>
                <w:color w:val="auto"/>
                <w:kern w:val="0"/>
                <w:sz w:val="20"/>
                <w:szCs w:val="20"/>
                <w:lang w:val="en-US" w:eastAsia="zh-CN"/>
              </w:rPr>
              <w:t>续上页</w:t>
            </w:r>
            <w:r>
              <w:rPr>
                <w:rFonts w:hint="eastAsia" w:ascii="仿宋_GB2312" w:hAnsi="仿宋_GB2312" w:eastAsia="仿宋_GB2312" w:cs="仿宋_GB2312"/>
                <w:color w:val="auto"/>
                <w:kern w:val="0"/>
                <w:sz w:val="20"/>
                <w:szCs w:val="20"/>
                <w:lang w:eastAsia="zh-CN"/>
              </w:rPr>
              <w:t>）</w:t>
            </w:r>
          </w:p>
        </w:tc>
        <w:tc>
          <w:tcPr>
            <w:tcW w:w="663" w:type="dxa"/>
            <w:shd w:val="clear" w:color="auto" w:fill="auto"/>
            <w:vAlign w:val="center"/>
          </w:tcPr>
          <w:p w14:paraId="48DD010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675" w:type="dxa"/>
            <w:shd w:val="clear" w:color="auto" w:fill="auto"/>
            <w:vAlign w:val="center"/>
          </w:tcPr>
          <w:p w14:paraId="2FDAEFCF">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1162" w:type="dxa"/>
            <w:vAlign w:val="center"/>
          </w:tcPr>
          <w:p w14:paraId="26DA68B7">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shd w:val="clear" w:color="auto" w:fill="FFFFFF"/>
                <w:lang w:val="en-US" w:eastAsia="zh-CN"/>
              </w:rPr>
              <w:t>设置户外广告设施、</w:t>
            </w:r>
            <w:r>
              <w:rPr>
                <w:rFonts w:hint="eastAsia" w:ascii="仿宋_GB2312" w:hAnsi="仿宋_GB2312" w:eastAsia="仿宋_GB2312" w:cs="仿宋_GB2312"/>
                <w:color w:val="auto"/>
                <w:kern w:val="0"/>
                <w:sz w:val="20"/>
                <w:szCs w:val="20"/>
                <w:shd w:val="clear" w:color="auto" w:fill="FFFFFF"/>
                <w:lang w:val="en-US" w:eastAsia="zh-CN" w:bidi="ar-SA"/>
              </w:rPr>
              <w:t>户外招牌设施</w:t>
            </w:r>
            <w:r>
              <w:rPr>
                <w:rFonts w:hint="eastAsia" w:ascii="仿宋_GB2312" w:hAnsi="仿宋_GB2312" w:eastAsia="仿宋_GB2312" w:cs="仿宋_GB2312"/>
                <w:color w:val="auto"/>
                <w:kern w:val="0"/>
                <w:sz w:val="20"/>
                <w:szCs w:val="20"/>
                <w:shd w:val="clear" w:color="auto" w:fill="FFFFFF"/>
                <w:lang w:val="en-US" w:eastAsia="zh-CN"/>
              </w:rPr>
              <w:t>的单位或个人</w:t>
            </w:r>
          </w:p>
        </w:tc>
        <w:tc>
          <w:tcPr>
            <w:tcW w:w="6376" w:type="dxa"/>
            <w:vAlign w:val="center"/>
          </w:tcPr>
          <w:p w14:paraId="3D7840E9">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《苏州市户外广告设施管理办法》</w:t>
            </w:r>
          </w:p>
          <w:p w14:paraId="1C03D26B">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第五条第一款  城市管理行政主管部门负责本行政区域内户外广告设施的设置管理工作。</w:t>
            </w:r>
          </w:p>
          <w:p w14:paraId="482DDEFC">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第二十条</w:t>
            </w:r>
            <w:r>
              <w:rPr>
                <w:rFonts w:hint="eastAsia" w:ascii="仿宋_GB2312" w:hAnsi="仿宋_GB2312" w:eastAsia="仿宋_GB2312" w:cs="仿宋_GB2312"/>
                <w:color w:val="auto"/>
                <w:kern w:val="0"/>
                <w:sz w:val="20"/>
                <w:szCs w:val="20"/>
                <w:shd w:val="clear" w:color="auto" w:fill="FFFFFF"/>
                <w:lang w:val="en-US" w:eastAsia="zh-CN"/>
              </w:rPr>
              <w:t xml:space="preserve">第二款  </w:t>
            </w:r>
            <w:r>
              <w:rPr>
                <w:rFonts w:hint="eastAsia" w:ascii="仿宋_GB2312" w:hAnsi="仿宋_GB2312" w:eastAsia="仿宋_GB2312" w:cs="仿宋_GB2312"/>
                <w:color w:val="auto"/>
                <w:kern w:val="0"/>
                <w:sz w:val="20"/>
                <w:szCs w:val="20"/>
                <w:shd w:val="clear" w:color="auto" w:fill="FFFFFF"/>
              </w:rPr>
              <w:t>户外广告设施应当按照批准的地点、位置、形式、规格、数量、期限以及技术规范要求设置；需要变更的，应当按照原许可程序办理变更手续。</w:t>
            </w:r>
          </w:p>
          <w:p w14:paraId="148AE6E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第二十三条  户外广告设施设置许可期限不超过3年，但是电子显示类的设置许可期限不超过5年。户外广告设施设置许可期限届满需要继续设置的，应当在设置许可期限届满30日前向许可机关提出延续申请。</w:t>
            </w:r>
          </w:p>
          <w:p w14:paraId="0AAE932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第二十四条  举办商业展销、开展公益宣传等活动的，可以申请设置临时性户外广告设施。设置许可期限应当与活动期限一致，但最长不得超过6个月。</w:t>
            </w:r>
          </w:p>
          <w:p w14:paraId="5ACCC4D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设置临时性户外广告设施应当提前5个工作日向城市管理部门申请办理许可手续。</w:t>
            </w:r>
          </w:p>
          <w:p w14:paraId="0C8573E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第二十八条  设置电子显示类的户外广告设施，不得违反光污染、噪声污染、电磁辐射污染等规定。</w:t>
            </w:r>
          </w:p>
          <w:p w14:paraId="1C64881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第二十九条  在沿街建（构）筑物内部透过玻璃幕墙、玻璃门窗等透明材质，以悬挂、张贴等形式设置广告的，应当符合城市容貌标准以及相关管理规定。</w:t>
            </w:r>
          </w:p>
          <w:p w14:paraId="36D6F3D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第三十条  利用车辆、船舶、飞行器、升空器、气球等发布户外广告的，应当遵守法律、法规、规章的规定和有关技术规范，并由城市管理部门依法许可。</w:t>
            </w:r>
          </w:p>
          <w:p w14:paraId="44E35297">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第三十二条  户外广告设施的设置者是户外广告设施的安全责任人，应当加强检查、维护，保证设施结构牢固、安全。</w:t>
            </w:r>
          </w:p>
          <w:p w14:paraId="0D793E68">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委托经营的，设置者和经营者应当签订安全生产责任协议，明确各自义务，依法承担相关安全责任。经营者应当安全作业，定期检查、维护，防止户外广告污损、脱落。</w:t>
            </w:r>
          </w:p>
          <w:p w14:paraId="407993D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户外广告设施存在安全隐患的，设置者和经营者应当立即进行修复、加固或者拆除。</w:t>
            </w:r>
          </w:p>
          <w:p w14:paraId="441525B5">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第三十四条  户外广告设施应当按照规定进行安全检测；未经检测或者检测不合格的，不得使用。</w:t>
            </w:r>
          </w:p>
          <w:p w14:paraId="0A4C7F67">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第三十五条  城市管理部门应当建立户外广告设施日常巡查制度，对违法设置或者存在安全隐患的户外广告设施及时处置。</w:t>
            </w:r>
          </w:p>
        </w:tc>
        <w:tc>
          <w:tcPr>
            <w:tcW w:w="1038" w:type="dxa"/>
            <w:shd w:val="clear" w:color="auto" w:fill="auto"/>
            <w:vAlign w:val="center"/>
          </w:tcPr>
          <w:p w14:paraId="14072FF1">
            <w:pPr>
              <w:snapToGrid w:val="0"/>
              <w:ind w:left="0" w:leftChars="0" w:right="0" w:rightChars="0" w:firstLine="0" w:firstLineChars="0"/>
              <w:jc w:val="left"/>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rPr>
              <w:t>现场检查、书面检查、网络检查</w:t>
            </w:r>
          </w:p>
        </w:tc>
        <w:tc>
          <w:tcPr>
            <w:tcW w:w="975" w:type="dxa"/>
            <w:shd w:val="clear" w:color="auto" w:fill="auto"/>
            <w:vAlign w:val="center"/>
          </w:tcPr>
          <w:p w14:paraId="1CB5A5E4">
            <w:pPr>
              <w:snapToGrid w:val="0"/>
              <w:ind w:left="0" w:leftChars="0" w:right="0" w:rightChars="0" w:firstLine="0" w:firstLineChars="0"/>
              <w:jc w:val="center"/>
              <w:rPr>
                <w:rFonts w:hint="eastAsia" w:ascii="仿宋_GB2312" w:hAnsi="仿宋_GB2312" w:eastAsia="仿宋_GB2312" w:cs="仿宋_GB2312"/>
                <w:bCs/>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原则上不超过一次</w:t>
            </w:r>
          </w:p>
        </w:tc>
        <w:tc>
          <w:tcPr>
            <w:tcW w:w="1575" w:type="dxa"/>
            <w:shd w:val="clear" w:color="auto" w:fill="auto"/>
            <w:vAlign w:val="center"/>
          </w:tcPr>
          <w:p w14:paraId="43724225">
            <w:pPr>
              <w:snapToGrid w:val="0"/>
              <w:ind w:left="0" w:leftChars="0" w:right="0" w:rightChars="0" w:firstLine="0" w:firstLineChars="0"/>
              <w:jc w:val="center"/>
              <w:rPr>
                <w:rFonts w:hint="eastAsia" w:ascii="仿宋_GB2312" w:hAnsi="仿宋_GB2312" w:eastAsia="仿宋_GB2312" w:cs="仿宋_GB2312"/>
                <w:bCs/>
                <w:color w:val="auto"/>
                <w:kern w:val="0"/>
                <w:sz w:val="20"/>
                <w:szCs w:val="20"/>
                <w:lang w:val="en-US" w:eastAsia="zh-CN" w:bidi="ar-SA"/>
              </w:rPr>
            </w:pPr>
            <w:r>
              <w:rPr>
                <w:rFonts w:hint="eastAsia" w:ascii="仿宋_GB2312" w:hAnsi="仿宋_GB2312" w:eastAsia="仿宋_GB2312" w:cs="仿宋_GB2312"/>
                <w:bCs/>
                <w:color w:val="auto"/>
                <w:kern w:val="0"/>
                <w:sz w:val="20"/>
                <w:szCs w:val="20"/>
                <w:lang w:val="en-US" w:eastAsia="zh-CN"/>
              </w:rPr>
              <w:t>/</w:t>
            </w:r>
          </w:p>
        </w:tc>
        <w:tc>
          <w:tcPr>
            <w:tcW w:w="1322" w:type="dxa"/>
            <w:shd w:val="clear" w:color="auto" w:fill="auto"/>
            <w:vAlign w:val="center"/>
          </w:tcPr>
          <w:p w14:paraId="1DFDE3F4">
            <w:pPr>
              <w:snapToGrid w:val="0"/>
              <w:ind w:left="0" w:leftChars="0" w:right="0" w:rightChars="0" w:firstLine="0" w:firstLineChars="0"/>
              <w:jc w:val="left"/>
              <w:rPr>
                <w:rFonts w:hint="eastAsia" w:ascii="仿宋_GB2312" w:hAnsi="仿宋_GB2312" w:eastAsia="仿宋_GB2312" w:cs="仿宋_GB2312"/>
                <w:i w:val="0"/>
                <w:iCs w:val="0"/>
                <w:color w:val="auto"/>
                <w:kern w:val="0"/>
                <w:sz w:val="20"/>
                <w:szCs w:val="20"/>
                <w:u w:val="none"/>
                <w:lang w:val="en-US" w:eastAsia="zh-CN" w:bidi="ar"/>
              </w:rPr>
            </w:pPr>
            <w:r>
              <w:rPr>
                <w:rFonts w:hint="eastAsia" w:ascii="仿宋_GB2312" w:hAnsi="仿宋_GB2312" w:eastAsia="仿宋_GB2312" w:cs="仿宋_GB2312"/>
                <w:color w:val="auto"/>
                <w:kern w:val="0"/>
                <w:sz w:val="20"/>
                <w:szCs w:val="20"/>
                <w:lang w:val="en-US" w:eastAsia="zh-CN"/>
              </w:rPr>
              <w:t>对户外广告设施设置期满，所有人或者管理人未拆除并恢复设置载体原状的处罚</w:t>
            </w:r>
          </w:p>
        </w:tc>
        <w:tc>
          <w:tcPr>
            <w:tcW w:w="474" w:type="dxa"/>
            <w:vAlign w:val="center"/>
          </w:tcPr>
          <w:p w14:paraId="0CAAECDE">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3C58C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36" w:type="dxa"/>
            <w:vMerge w:val="restart"/>
            <w:vAlign w:val="center"/>
          </w:tcPr>
          <w:p w14:paraId="43BBB9FF">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2.3</w:t>
            </w:r>
          </w:p>
        </w:tc>
        <w:tc>
          <w:tcPr>
            <w:tcW w:w="962" w:type="dxa"/>
            <w:vMerge w:val="restart"/>
            <w:vAlign w:val="center"/>
          </w:tcPr>
          <w:p w14:paraId="2A7BB628">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vMerge w:val="restart"/>
            <w:vAlign w:val="center"/>
          </w:tcPr>
          <w:p w14:paraId="29D470A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lang w:val="en-US" w:eastAsia="zh-CN"/>
              </w:rPr>
              <w:t>城市管理部门</w:t>
            </w:r>
          </w:p>
        </w:tc>
        <w:tc>
          <w:tcPr>
            <w:tcW w:w="675" w:type="dxa"/>
            <w:vMerge w:val="restart"/>
            <w:vAlign w:val="center"/>
          </w:tcPr>
          <w:p w14:paraId="3D62D63E">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lang w:val="en-US" w:eastAsia="zh-CN"/>
              </w:rPr>
              <w:t>城市管理部门</w:t>
            </w:r>
          </w:p>
        </w:tc>
        <w:tc>
          <w:tcPr>
            <w:tcW w:w="1162" w:type="dxa"/>
            <w:vMerge w:val="restart"/>
            <w:vAlign w:val="center"/>
          </w:tcPr>
          <w:p w14:paraId="4CCC220C">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生活垃圾分类投放管理责任人</w:t>
            </w:r>
          </w:p>
        </w:tc>
        <w:tc>
          <w:tcPr>
            <w:tcW w:w="6376" w:type="dxa"/>
            <w:vMerge w:val="restart"/>
            <w:vAlign w:val="center"/>
          </w:tcPr>
          <w:p w14:paraId="093B23E0">
            <w:pPr>
              <w:overflowPunct w:val="0"/>
              <w:autoSpaceDE w:val="0"/>
              <w:autoSpaceDN w:val="0"/>
              <w:snapToGrid w:val="0"/>
              <w:ind w:left="0" w:leftChars="0" w:right="0" w:rightChars="0" w:firstLine="0" w:firstLineChars="0"/>
              <w:jc w:val="both"/>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《苏州市生活垃圾分类管理条例》</w:t>
            </w:r>
          </w:p>
          <w:p w14:paraId="3FD7372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rPr>
              <w:t>第七条</w:t>
            </w:r>
            <w:r>
              <w:rPr>
                <w:rFonts w:hint="eastAsia" w:ascii="仿宋_GB2312" w:hAnsi="仿宋_GB2312" w:eastAsia="仿宋_GB2312" w:cs="仿宋_GB2312"/>
                <w:color w:val="auto"/>
                <w:kern w:val="0"/>
                <w:sz w:val="20"/>
                <w:szCs w:val="20"/>
                <w:lang w:val="en-US" w:eastAsia="zh-CN"/>
              </w:rPr>
              <w:t>第一款</w:t>
            </w:r>
            <w:r>
              <w:rPr>
                <w:rFonts w:hint="eastAsia" w:ascii="仿宋_GB2312" w:hAnsi="仿宋_GB2312" w:eastAsia="仿宋_GB2312" w:cs="仿宋_GB2312"/>
                <w:color w:val="auto"/>
                <w:kern w:val="0"/>
                <w:sz w:val="20"/>
                <w:szCs w:val="20"/>
              </w:rPr>
              <w:t xml:space="preserve"> 市、县级市（区）环境卫生主管部门是本行政区域内生活垃圾分类管理工作的主管部门，负责生活垃圾分类管理工作的组织、协调、指导和监督。</w:t>
            </w:r>
          </w:p>
          <w:p w14:paraId="06869A5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第十八条</w:t>
            </w:r>
            <w:r>
              <w:rPr>
                <w:rFonts w:hint="eastAsia" w:ascii="仿宋_GB2312" w:hAnsi="仿宋_GB2312" w:eastAsia="仿宋_GB2312" w:cs="仿宋_GB2312"/>
                <w:color w:val="auto"/>
                <w:kern w:val="0"/>
                <w:sz w:val="20"/>
                <w:szCs w:val="20"/>
                <w:shd w:val="clear" w:color="auto" w:fill="FFFFFF"/>
                <w:lang w:val="en-US" w:eastAsia="zh-CN"/>
              </w:rPr>
              <w:t xml:space="preserve">第一款第二款  </w:t>
            </w:r>
            <w:r>
              <w:rPr>
                <w:rFonts w:hint="eastAsia" w:ascii="仿宋_GB2312" w:hAnsi="仿宋_GB2312" w:eastAsia="仿宋_GB2312" w:cs="仿宋_GB2312"/>
                <w:color w:val="auto"/>
                <w:kern w:val="0"/>
                <w:sz w:val="20"/>
                <w:szCs w:val="20"/>
                <w:shd w:val="clear" w:color="auto" w:fill="FFFFFF"/>
              </w:rPr>
              <w:t>生活垃圾分类投放管理责任人应当按照生活垃圾分类收集容器的类别、标识、规格要求，合理配置生活垃圾分类收集容器。但是，城市住宅区、农村居民点生活垃圾分类收集容器的首次配置，由县级市（区）环境卫生主管部门负责，更新维护由生活垃圾分类投放管理责任人负责。</w:t>
            </w:r>
          </w:p>
          <w:p w14:paraId="19741B6D">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城市住宅区、农村居民点厨余垃圾、其他垃圾的收集容器的配置位置、数量等，应当满足生活垃圾分类投放需求；可回收物、有害垃圾的收集容器可以在住宅区、居民点主要出入口等区域相对集中配置。</w:t>
            </w:r>
          </w:p>
          <w:p w14:paraId="173043E3">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第十九条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生活垃圾分类投放管理责任人应当承担下列职责：</w:t>
            </w:r>
          </w:p>
          <w:p w14:paraId="2F22778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（一）建立生活垃圾分类投放日常管理制度，公示生活垃圾的投放地点、投放方式等分类投放要求。</w:t>
            </w:r>
          </w:p>
          <w:p w14:paraId="726C5B8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（二）开展生活垃圾分类管理宣传和分类投放指导、监督。</w:t>
            </w:r>
          </w:p>
          <w:p w14:paraId="2DA62BC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（三）保持收集设施、收集容器完好及周边环境整洁。</w:t>
            </w:r>
          </w:p>
          <w:p w14:paraId="2903403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（四）对不符合分类投放要求的行为予以劝告、制止；对仍不按照规定分类投放的，应当向环境卫生主管部门报告。</w:t>
            </w:r>
          </w:p>
          <w:p w14:paraId="6B349EA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（五）对翻拣生活垃圾分类收集容器内的生活垃圾，造成收集容器周边环境污染或者将已分类的生活垃圾混合的行为予以劝告、制止；对不听劝告、制止的，应当向环境卫生主管部门报告。</w:t>
            </w:r>
          </w:p>
          <w:p w14:paraId="7B9B949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（六）将已分类的生活垃圾分别交由符合相应要求的单位进行收集运输，并做好相应记录。</w:t>
            </w:r>
          </w:p>
          <w:p w14:paraId="583CB4A5">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（七）法律、法规和规章规定的其他职责。</w:t>
            </w:r>
          </w:p>
          <w:p w14:paraId="1634C8A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城市住宅区、农村居民点和单位实行生活垃圾内部驳运的，</w:t>
            </w:r>
            <w:bookmarkStart w:id="0" w:name="_GoBack"/>
            <w:bookmarkEnd w:id="0"/>
          </w:p>
          <w:p w14:paraId="7A56A57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投放管理责任人不得将已分类的生活垃圾混合驳运。</w:t>
            </w:r>
          </w:p>
        </w:tc>
        <w:tc>
          <w:tcPr>
            <w:tcW w:w="1038" w:type="dxa"/>
            <w:vMerge w:val="restart"/>
            <w:vAlign w:val="center"/>
          </w:tcPr>
          <w:p w14:paraId="1438CBA8">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75" w:type="dxa"/>
            <w:vMerge w:val="restart"/>
            <w:vAlign w:val="center"/>
          </w:tcPr>
          <w:p w14:paraId="479D61CD">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575" w:type="dxa"/>
            <w:vAlign w:val="center"/>
          </w:tcPr>
          <w:p w14:paraId="5D7A1EBE">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3202SZ210000</w:t>
            </w:r>
          </w:p>
        </w:tc>
        <w:tc>
          <w:tcPr>
            <w:tcW w:w="1322" w:type="dxa"/>
            <w:shd w:val="clear" w:color="auto" w:fill="auto"/>
            <w:vAlign w:val="center"/>
          </w:tcPr>
          <w:p w14:paraId="56635574">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对责任人未按照生活垃圾分类收集容器的要求配置容器的处罚</w:t>
            </w:r>
          </w:p>
        </w:tc>
        <w:tc>
          <w:tcPr>
            <w:tcW w:w="474" w:type="dxa"/>
            <w:vAlign w:val="center"/>
          </w:tcPr>
          <w:p w14:paraId="644E87B7">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6EFB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6" w:type="dxa"/>
            <w:vMerge w:val="continue"/>
            <w:vAlign w:val="center"/>
          </w:tcPr>
          <w:p w14:paraId="52545268">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62" w:type="dxa"/>
            <w:vMerge w:val="continue"/>
            <w:vAlign w:val="center"/>
          </w:tcPr>
          <w:p w14:paraId="19B200F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63" w:type="dxa"/>
            <w:vMerge w:val="continue"/>
            <w:vAlign w:val="center"/>
          </w:tcPr>
          <w:p w14:paraId="1FE153D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675" w:type="dxa"/>
            <w:vMerge w:val="continue"/>
            <w:vAlign w:val="center"/>
          </w:tcPr>
          <w:p w14:paraId="630A16F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62" w:type="dxa"/>
            <w:vMerge w:val="continue"/>
            <w:vAlign w:val="center"/>
          </w:tcPr>
          <w:p w14:paraId="6E4F4388">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rPr>
            </w:pPr>
          </w:p>
        </w:tc>
        <w:tc>
          <w:tcPr>
            <w:tcW w:w="6376" w:type="dxa"/>
            <w:vMerge w:val="continue"/>
            <w:vAlign w:val="center"/>
          </w:tcPr>
          <w:p w14:paraId="41F8D4F7">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p>
        </w:tc>
        <w:tc>
          <w:tcPr>
            <w:tcW w:w="1038" w:type="dxa"/>
            <w:vMerge w:val="continue"/>
            <w:vAlign w:val="center"/>
          </w:tcPr>
          <w:p w14:paraId="6EE9AFC2">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p>
        </w:tc>
        <w:tc>
          <w:tcPr>
            <w:tcW w:w="975" w:type="dxa"/>
            <w:vMerge w:val="continue"/>
            <w:vAlign w:val="center"/>
          </w:tcPr>
          <w:p w14:paraId="45F98532">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p>
        </w:tc>
        <w:tc>
          <w:tcPr>
            <w:tcW w:w="1575" w:type="dxa"/>
            <w:vAlign w:val="center"/>
          </w:tcPr>
          <w:p w14:paraId="2564FFF4">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3202SZ211000</w:t>
            </w:r>
          </w:p>
        </w:tc>
        <w:tc>
          <w:tcPr>
            <w:tcW w:w="1322" w:type="dxa"/>
            <w:shd w:val="clear" w:color="auto" w:fill="auto"/>
            <w:vAlign w:val="center"/>
          </w:tcPr>
          <w:p w14:paraId="44DFA70F">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对责任人将已分类的生活垃圾交由不符合要求的单位收集、运输的处罚</w:t>
            </w:r>
          </w:p>
        </w:tc>
        <w:tc>
          <w:tcPr>
            <w:tcW w:w="474" w:type="dxa"/>
            <w:vAlign w:val="center"/>
          </w:tcPr>
          <w:p w14:paraId="35C99516">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3BCB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536" w:type="dxa"/>
            <w:vAlign w:val="center"/>
          </w:tcPr>
          <w:p w14:paraId="2440828A">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2.4</w:t>
            </w:r>
          </w:p>
        </w:tc>
        <w:tc>
          <w:tcPr>
            <w:tcW w:w="962" w:type="dxa"/>
            <w:shd w:val="clear" w:color="auto" w:fill="auto"/>
            <w:vAlign w:val="center"/>
          </w:tcPr>
          <w:p w14:paraId="6A1A8CB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shd w:val="clear" w:color="auto" w:fill="auto"/>
            <w:vAlign w:val="center"/>
          </w:tcPr>
          <w:p w14:paraId="6AD75E0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675" w:type="dxa"/>
            <w:shd w:val="clear" w:color="auto" w:fill="auto"/>
            <w:vAlign w:val="center"/>
          </w:tcPr>
          <w:p w14:paraId="4A80ABD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1162" w:type="dxa"/>
            <w:vAlign w:val="center"/>
          </w:tcPr>
          <w:p w14:paraId="2ACCD86A">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shd w:val="clear" w:color="auto" w:fill="FFFFFF"/>
              </w:rPr>
              <w:t>产生生活垃圾的单位和个人</w:t>
            </w:r>
          </w:p>
        </w:tc>
        <w:tc>
          <w:tcPr>
            <w:tcW w:w="6376" w:type="dxa"/>
            <w:vAlign w:val="center"/>
          </w:tcPr>
          <w:p w14:paraId="39FB9718">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《苏州市生活垃圾分类管理条例》</w:t>
            </w:r>
          </w:p>
          <w:p w14:paraId="3CEA74B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rPr>
              <w:t>第七条</w:t>
            </w:r>
            <w:r>
              <w:rPr>
                <w:rFonts w:hint="eastAsia" w:ascii="仿宋_GB2312" w:hAnsi="仿宋_GB2312" w:eastAsia="仿宋_GB2312" w:cs="仿宋_GB2312"/>
                <w:color w:val="auto"/>
                <w:kern w:val="0"/>
                <w:sz w:val="20"/>
                <w:szCs w:val="20"/>
                <w:lang w:val="en-US" w:eastAsia="zh-CN"/>
              </w:rPr>
              <w:t>第一款</w:t>
            </w:r>
            <w:r>
              <w:rPr>
                <w:rFonts w:hint="eastAsia" w:ascii="仿宋_GB2312" w:hAnsi="仿宋_GB2312" w:eastAsia="仿宋_GB2312" w:cs="仿宋_GB2312"/>
                <w:color w:val="auto"/>
                <w:kern w:val="0"/>
                <w:sz w:val="20"/>
                <w:szCs w:val="20"/>
              </w:rPr>
              <w:t xml:space="preserve"> 市、县级市（区）环境卫生主管部门是本行政区域内生活垃圾分类管理工作的主管部门，负责生活垃圾分类管理工作的组织、协调、指导和监督。</w:t>
            </w:r>
          </w:p>
          <w:p w14:paraId="0558DF4F">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第二十一条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产生生活垃圾的单位和个人是生活垃圾分类投放的责任主体，应当按照规定将生活垃圾进行分类投放，不得乱倒生活垃圾。</w:t>
            </w:r>
          </w:p>
          <w:p w14:paraId="43F6826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对家具、电器等体积较大、整体性强或者需要拆分再处理的大件垃圾，单位和个人应当投放至投放管理责任人指定的堆放收集点，或者通过预约由收运服务单位收集。大件垃圾不得随意丢弃或者投放至收集容器内。</w:t>
            </w:r>
          </w:p>
          <w:p w14:paraId="53A7599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有害垃圾应当投放至有害垃圾收集容器内。但是，废药品应当投放至市场监督管理部门公布的家庭废药品收集点。</w:t>
            </w:r>
          </w:p>
          <w:p w14:paraId="214F393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厨余垃圾应当先在产生场所滤去水分，再投放至厨余垃圾收集容器内。</w:t>
            </w:r>
          </w:p>
          <w:p w14:paraId="33D08FB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建筑装修垃圾、绿化作业垃圾不得投放至生活垃圾收集容器内。</w:t>
            </w:r>
          </w:p>
          <w:p w14:paraId="221D8B8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动物的尸骸按照有关动物防疫法律、法规的规定处理，不得投放至生活垃圾收集容器内。</w:t>
            </w:r>
          </w:p>
        </w:tc>
        <w:tc>
          <w:tcPr>
            <w:tcW w:w="1038" w:type="dxa"/>
            <w:vAlign w:val="center"/>
          </w:tcPr>
          <w:p w14:paraId="41B406C3">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75" w:type="dxa"/>
            <w:vAlign w:val="center"/>
          </w:tcPr>
          <w:p w14:paraId="44D5E438">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575" w:type="dxa"/>
            <w:shd w:val="clear" w:color="auto" w:fill="auto"/>
            <w:vAlign w:val="center"/>
          </w:tcPr>
          <w:p w14:paraId="179BCB0A">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3202SZ213000</w:t>
            </w:r>
          </w:p>
        </w:tc>
        <w:tc>
          <w:tcPr>
            <w:tcW w:w="1322" w:type="dxa"/>
            <w:shd w:val="clear" w:color="auto" w:fill="auto"/>
            <w:vAlign w:val="center"/>
          </w:tcPr>
          <w:p w14:paraId="245DABF0">
            <w:pPr>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对将建筑装修垃圾、绿化作业垃圾投放至生活垃圾收集容器内的处罚</w:t>
            </w:r>
          </w:p>
        </w:tc>
        <w:tc>
          <w:tcPr>
            <w:tcW w:w="474" w:type="dxa"/>
            <w:vAlign w:val="center"/>
          </w:tcPr>
          <w:p w14:paraId="7CAA086E">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bl>
    <w:p w14:paraId="182A2CAB">
      <w:pPr>
        <w:rPr>
          <w:rFonts w:ascii="Calibri" w:hAnsi="Calibri" w:eastAsia="宋体" w:cs="Calibri"/>
        </w:rPr>
      </w:pPr>
      <w:r>
        <w:rPr>
          <w:rFonts w:ascii="Calibri" w:hAnsi="Calibri" w:eastAsia="宋体" w:cs="Calibri"/>
        </w:rPr>
        <w:br w:type="page"/>
      </w:r>
    </w:p>
    <w:tbl>
      <w:tblPr>
        <w:tblStyle w:val="4"/>
        <w:tblW w:w="15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962"/>
        <w:gridCol w:w="663"/>
        <w:gridCol w:w="675"/>
        <w:gridCol w:w="1162"/>
        <w:gridCol w:w="5429"/>
        <w:gridCol w:w="778"/>
        <w:gridCol w:w="981"/>
        <w:gridCol w:w="1610"/>
        <w:gridCol w:w="2488"/>
        <w:gridCol w:w="474"/>
      </w:tblGrid>
      <w:tr w14:paraId="5A6E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blHeader/>
          <w:jc w:val="center"/>
        </w:trPr>
        <w:tc>
          <w:tcPr>
            <w:tcW w:w="536" w:type="dxa"/>
            <w:vMerge w:val="restart"/>
            <w:shd w:val="clear" w:color="auto" w:fill="auto"/>
            <w:vAlign w:val="center"/>
          </w:tcPr>
          <w:p w14:paraId="3A310D55">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序号</w:t>
            </w:r>
          </w:p>
        </w:tc>
        <w:tc>
          <w:tcPr>
            <w:tcW w:w="962" w:type="dxa"/>
            <w:vMerge w:val="restart"/>
            <w:shd w:val="clear" w:color="auto" w:fill="auto"/>
            <w:vAlign w:val="center"/>
          </w:tcPr>
          <w:p w14:paraId="4D16F7FF">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08C101BE">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事项</w:t>
            </w:r>
          </w:p>
        </w:tc>
        <w:tc>
          <w:tcPr>
            <w:tcW w:w="663" w:type="dxa"/>
            <w:vMerge w:val="restart"/>
            <w:shd w:val="clear" w:color="auto" w:fill="auto"/>
            <w:vAlign w:val="center"/>
          </w:tcPr>
          <w:p w14:paraId="1CEBECED">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检查主体</w:t>
            </w:r>
          </w:p>
        </w:tc>
        <w:tc>
          <w:tcPr>
            <w:tcW w:w="675" w:type="dxa"/>
            <w:vMerge w:val="restart"/>
            <w:shd w:val="clear" w:color="auto" w:fill="auto"/>
            <w:vAlign w:val="center"/>
          </w:tcPr>
          <w:p w14:paraId="36B9562D">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检查机构</w:t>
            </w:r>
          </w:p>
        </w:tc>
        <w:tc>
          <w:tcPr>
            <w:tcW w:w="1162" w:type="dxa"/>
            <w:vMerge w:val="restart"/>
            <w:shd w:val="clear" w:color="auto" w:fill="auto"/>
            <w:vAlign w:val="center"/>
          </w:tcPr>
          <w:p w14:paraId="546C0AAC">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2CEC360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对象</w:t>
            </w:r>
          </w:p>
        </w:tc>
        <w:tc>
          <w:tcPr>
            <w:tcW w:w="5429" w:type="dxa"/>
            <w:vMerge w:val="restart"/>
            <w:shd w:val="clear" w:color="auto" w:fill="auto"/>
            <w:vAlign w:val="center"/>
          </w:tcPr>
          <w:p w14:paraId="579CF32C">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Times New Roman" w:eastAsia="黑体" w:cs="Calibri"/>
                <w:b w:val="0"/>
                <w:bCs/>
                <w:kern w:val="0"/>
                <w:sz w:val="22"/>
                <w:szCs w:val="22"/>
              </w:rPr>
              <w:t>检查依据</w:t>
            </w:r>
          </w:p>
        </w:tc>
        <w:tc>
          <w:tcPr>
            <w:tcW w:w="778" w:type="dxa"/>
            <w:vMerge w:val="restart"/>
            <w:shd w:val="clear" w:color="auto" w:fill="auto"/>
            <w:vAlign w:val="center"/>
          </w:tcPr>
          <w:p w14:paraId="6378154D">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检查方式</w:t>
            </w:r>
          </w:p>
        </w:tc>
        <w:tc>
          <w:tcPr>
            <w:tcW w:w="981" w:type="dxa"/>
            <w:vMerge w:val="restart"/>
            <w:shd w:val="clear" w:color="auto" w:fill="auto"/>
            <w:vAlign w:val="center"/>
          </w:tcPr>
          <w:p w14:paraId="7C61A312">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718A49D0">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频次</w:t>
            </w:r>
          </w:p>
          <w:p w14:paraId="48058D38">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（时间）</w:t>
            </w:r>
          </w:p>
        </w:tc>
        <w:tc>
          <w:tcPr>
            <w:tcW w:w="4098" w:type="dxa"/>
            <w:gridSpan w:val="2"/>
            <w:shd w:val="clear" w:color="auto" w:fill="auto"/>
            <w:vAlign w:val="center"/>
          </w:tcPr>
          <w:p w14:paraId="5BFF4F2E">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kern w:val="0"/>
                <w:sz w:val="22"/>
                <w:szCs w:val="22"/>
              </w:rPr>
              <w:t>对应的行政权力事项</w:t>
            </w:r>
          </w:p>
        </w:tc>
        <w:tc>
          <w:tcPr>
            <w:tcW w:w="474" w:type="dxa"/>
            <w:vMerge w:val="restart"/>
            <w:vAlign w:val="center"/>
          </w:tcPr>
          <w:p w14:paraId="19AB1200">
            <w:pPr>
              <w:snapToGrid w:val="0"/>
              <w:ind w:left="0" w:leftChars="0" w:right="0" w:rightChars="0" w:firstLine="0" w:firstLineChars="0"/>
              <w:jc w:val="center"/>
              <w:rPr>
                <w:rFonts w:hint="eastAsia" w:ascii="仿宋_GB2312" w:hAnsi="仿宋_GB2312" w:eastAsia="仿宋_GB2312" w:cs="仿宋_GB2312"/>
                <w:b/>
                <w:color w:val="auto"/>
                <w:kern w:val="0"/>
                <w:sz w:val="21"/>
                <w:szCs w:val="21"/>
                <w:lang w:val="en-US" w:eastAsia="zh-CN"/>
              </w:rPr>
            </w:pPr>
            <w:r>
              <w:rPr>
                <w:rFonts w:hint="eastAsia" w:ascii="黑体" w:hAnsi="黑体" w:eastAsia="黑体" w:cs="黑体"/>
                <w:b w:val="0"/>
                <w:bCs/>
                <w:color w:val="auto"/>
                <w:kern w:val="0"/>
                <w:sz w:val="22"/>
                <w:szCs w:val="22"/>
                <w:lang w:val="en-US" w:eastAsia="zh-CN"/>
              </w:rPr>
              <w:t>备注</w:t>
            </w:r>
          </w:p>
        </w:tc>
      </w:tr>
      <w:tr w14:paraId="3636E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blHeader/>
          <w:jc w:val="center"/>
        </w:trPr>
        <w:tc>
          <w:tcPr>
            <w:tcW w:w="536" w:type="dxa"/>
            <w:vMerge w:val="continue"/>
            <w:vAlign w:val="center"/>
          </w:tcPr>
          <w:p w14:paraId="39A39595">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62" w:type="dxa"/>
            <w:vMerge w:val="continue"/>
            <w:vAlign w:val="center"/>
          </w:tcPr>
          <w:p w14:paraId="25E093D7">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63" w:type="dxa"/>
            <w:vMerge w:val="continue"/>
            <w:vAlign w:val="center"/>
          </w:tcPr>
          <w:p w14:paraId="41E6E458">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675" w:type="dxa"/>
            <w:vMerge w:val="continue"/>
            <w:vAlign w:val="center"/>
          </w:tcPr>
          <w:p w14:paraId="38AF754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62" w:type="dxa"/>
            <w:vMerge w:val="continue"/>
            <w:vAlign w:val="center"/>
          </w:tcPr>
          <w:p w14:paraId="3DFB49A8">
            <w:pPr>
              <w:overflowPunct w:val="0"/>
              <w:autoSpaceDE w:val="0"/>
              <w:autoSpaceDN w:val="0"/>
              <w:snapToGrid w:val="0"/>
              <w:spacing w:line="240" w:lineRule="auto"/>
              <w:ind w:left="0" w:leftChars="0" w:right="0" w:rightChars="0" w:firstLine="0" w:firstLineChars="0"/>
              <w:jc w:val="both"/>
              <w:rPr>
                <w:rFonts w:hint="eastAsia" w:ascii="仿宋_GB2312" w:hAnsi="仿宋_GB2312" w:eastAsia="仿宋_GB2312" w:cs="仿宋_GB2312"/>
                <w:color w:val="auto"/>
                <w:kern w:val="0"/>
                <w:sz w:val="20"/>
                <w:szCs w:val="20"/>
                <w:shd w:val="clear" w:color="auto" w:fill="FFFFFF"/>
              </w:rPr>
            </w:pPr>
          </w:p>
        </w:tc>
        <w:tc>
          <w:tcPr>
            <w:tcW w:w="5429" w:type="dxa"/>
            <w:vMerge w:val="continue"/>
            <w:vAlign w:val="center"/>
          </w:tcPr>
          <w:p w14:paraId="1024416D">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778" w:type="dxa"/>
            <w:vMerge w:val="continue"/>
            <w:vAlign w:val="center"/>
          </w:tcPr>
          <w:p w14:paraId="2E4B7B57">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981" w:type="dxa"/>
            <w:vMerge w:val="continue"/>
            <w:vAlign w:val="center"/>
          </w:tcPr>
          <w:p w14:paraId="49336E79">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610" w:type="dxa"/>
            <w:shd w:val="clear" w:color="auto" w:fill="auto"/>
            <w:vAlign w:val="center"/>
          </w:tcPr>
          <w:p w14:paraId="2F48B1C8">
            <w:pPr>
              <w:snapToGrid w:val="0"/>
              <w:ind w:left="0" w:leftChars="0" w:right="0" w:rightChars="0" w:firstLine="0" w:firstLineChars="0"/>
              <w:jc w:val="center"/>
              <w:rPr>
                <w:rFonts w:hint="default" w:ascii="Times New Roman" w:hAnsi="黑体" w:eastAsia="黑体" w:cs="Calibri"/>
                <w:b w:val="0"/>
                <w:bCs/>
                <w:kern w:val="0"/>
                <w:sz w:val="22"/>
                <w:szCs w:val="22"/>
                <w:lang w:val="en-US" w:eastAsia="zh-CN" w:bidi="ar-SA"/>
              </w:rPr>
            </w:pPr>
            <w:r>
              <w:rPr>
                <w:rFonts w:ascii="Times New Roman" w:hAnsi="黑体" w:eastAsia="黑体" w:cs="Calibri"/>
                <w:b w:val="0"/>
                <w:bCs/>
                <w:kern w:val="0"/>
                <w:sz w:val="22"/>
                <w:szCs w:val="22"/>
              </w:rPr>
              <w:t>权力编码</w:t>
            </w:r>
          </w:p>
        </w:tc>
        <w:tc>
          <w:tcPr>
            <w:tcW w:w="2488" w:type="dxa"/>
            <w:shd w:val="clear" w:color="auto" w:fill="auto"/>
            <w:vAlign w:val="center"/>
          </w:tcPr>
          <w:p w14:paraId="3D55EC22">
            <w:pPr>
              <w:snapToGrid w:val="0"/>
              <w:ind w:left="0" w:leftChars="0" w:right="0" w:rightChars="0" w:firstLine="0" w:firstLineChars="0"/>
              <w:jc w:val="center"/>
              <w:rPr>
                <w:rFonts w:hint="eastAsia" w:ascii="Times New Roman" w:hAnsi="黑体" w:eastAsia="黑体" w:cs="Calibri"/>
                <w:b w:val="0"/>
                <w:bCs/>
                <w:kern w:val="0"/>
                <w:sz w:val="22"/>
                <w:szCs w:val="22"/>
                <w:lang w:val="en-US" w:eastAsia="zh-CN" w:bidi="ar-SA"/>
              </w:rPr>
            </w:pPr>
            <w:r>
              <w:rPr>
                <w:rFonts w:ascii="Times New Roman" w:hAnsi="黑体" w:eastAsia="黑体" w:cs="Calibri"/>
                <w:b w:val="0"/>
                <w:bCs/>
                <w:kern w:val="0"/>
                <w:sz w:val="22"/>
                <w:szCs w:val="22"/>
              </w:rPr>
              <w:t>权力名称</w:t>
            </w:r>
          </w:p>
        </w:tc>
        <w:tc>
          <w:tcPr>
            <w:tcW w:w="474" w:type="dxa"/>
            <w:vMerge w:val="continue"/>
            <w:vAlign w:val="center"/>
          </w:tcPr>
          <w:p w14:paraId="669DCFBF">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6CA8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6" w:hRule="atLeast"/>
          <w:jc w:val="center"/>
        </w:trPr>
        <w:tc>
          <w:tcPr>
            <w:tcW w:w="536" w:type="dxa"/>
            <w:vMerge w:val="restart"/>
            <w:vAlign w:val="center"/>
          </w:tcPr>
          <w:p w14:paraId="03EEF497">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2.5</w:t>
            </w:r>
          </w:p>
        </w:tc>
        <w:tc>
          <w:tcPr>
            <w:tcW w:w="962" w:type="dxa"/>
            <w:vMerge w:val="restart"/>
            <w:vAlign w:val="center"/>
          </w:tcPr>
          <w:p w14:paraId="0572EE3B">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vMerge w:val="restart"/>
            <w:vAlign w:val="center"/>
          </w:tcPr>
          <w:p w14:paraId="290D3AC6">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lang w:val="en-US" w:eastAsia="zh-CN"/>
              </w:rPr>
              <w:t>城市管理部门</w:t>
            </w:r>
          </w:p>
        </w:tc>
        <w:tc>
          <w:tcPr>
            <w:tcW w:w="675" w:type="dxa"/>
            <w:vMerge w:val="restart"/>
            <w:vAlign w:val="center"/>
          </w:tcPr>
          <w:p w14:paraId="346DAB0E">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lang w:val="en-US" w:eastAsia="zh-CN"/>
              </w:rPr>
              <w:t>城市管理部门</w:t>
            </w:r>
          </w:p>
        </w:tc>
        <w:tc>
          <w:tcPr>
            <w:tcW w:w="1162" w:type="dxa"/>
            <w:vMerge w:val="restart"/>
            <w:vAlign w:val="center"/>
          </w:tcPr>
          <w:p w14:paraId="23C7E4ED">
            <w:pPr>
              <w:overflowPunct w:val="0"/>
              <w:autoSpaceDE w:val="0"/>
              <w:autoSpaceDN w:val="0"/>
              <w:snapToGrid w:val="0"/>
              <w:spacing w:line="240" w:lineRule="auto"/>
              <w:ind w:left="0" w:leftChars="0" w:right="0" w:rightChars="0" w:firstLine="0" w:firstLineChars="0"/>
              <w:jc w:val="both"/>
              <w:rPr>
                <w:rFonts w:hint="eastAsia" w:ascii="仿宋_GB2312" w:hAnsi="仿宋_GB2312" w:eastAsia="仿宋_GB2312" w:cs="仿宋_GB2312"/>
                <w:b/>
                <w:color w:val="auto"/>
                <w:kern w:val="0"/>
                <w:sz w:val="20"/>
                <w:szCs w:val="20"/>
                <w:lang w:val="en-US" w:eastAsia="zh-CN"/>
              </w:rPr>
            </w:pPr>
            <w:r>
              <w:rPr>
                <w:rFonts w:hint="eastAsia" w:ascii="仿宋_GB2312" w:hAnsi="仿宋_GB2312" w:eastAsia="仿宋_GB2312" w:cs="仿宋_GB2312"/>
                <w:color w:val="auto"/>
                <w:kern w:val="0"/>
                <w:sz w:val="20"/>
                <w:szCs w:val="20"/>
                <w:shd w:val="clear" w:color="auto" w:fill="FFFFFF"/>
              </w:rPr>
              <w:t>生活垃圾</w:t>
            </w:r>
            <w:r>
              <w:rPr>
                <w:rFonts w:hint="eastAsia" w:ascii="仿宋_GB2312" w:hAnsi="仿宋_GB2312" w:eastAsia="仿宋_GB2312" w:cs="仿宋_GB2312"/>
                <w:color w:val="auto"/>
                <w:kern w:val="0"/>
                <w:sz w:val="20"/>
                <w:szCs w:val="20"/>
                <w:shd w:val="clear" w:color="auto" w:fill="FFFFFF"/>
                <w:lang w:val="en-US" w:eastAsia="zh-CN"/>
              </w:rPr>
              <w:t>收集、运输、</w:t>
            </w:r>
            <w:r>
              <w:rPr>
                <w:rFonts w:hint="eastAsia" w:ascii="仿宋_GB2312" w:hAnsi="仿宋_GB2312" w:eastAsia="仿宋_GB2312" w:cs="仿宋_GB2312"/>
                <w:color w:val="auto"/>
                <w:kern w:val="0"/>
                <w:sz w:val="20"/>
                <w:szCs w:val="20"/>
                <w:shd w:val="clear" w:color="auto" w:fill="FFFFFF"/>
              </w:rPr>
              <w:t>处置单位</w:t>
            </w:r>
            <w:r>
              <w:rPr>
                <w:rFonts w:hint="eastAsia" w:ascii="仿宋_GB2312" w:hAnsi="仿宋_GB2312" w:eastAsia="仿宋_GB2312" w:cs="仿宋_GB2312"/>
                <w:color w:val="auto"/>
                <w:kern w:val="0"/>
                <w:sz w:val="20"/>
                <w:szCs w:val="20"/>
                <w:shd w:val="clear" w:color="auto" w:fill="FFFFFF"/>
                <w:lang w:eastAsia="zh-CN"/>
              </w:rPr>
              <w:t>；餐厨垃圾收集、运输和处置</w:t>
            </w:r>
            <w:r>
              <w:rPr>
                <w:rFonts w:hint="eastAsia" w:ascii="仿宋_GB2312" w:hAnsi="仿宋_GB2312" w:eastAsia="仿宋_GB2312" w:cs="仿宋_GB2312"/>
                <w:color w:val="auto"/>
                <w:kern w:val="0"/>
                <w:sz w:val="20"/>
                <w:szCs w:val="20"/>
                <w:shd w:val="clear" w:color="auto" w:fill="FFFFFF"/>
                <w:lang w:val="en-US" w:eastAsia="zh-CN"/>
              </w:rPr>
              <w:t>单位</w:t>
            </w:r>
          </w:p>
        </w:tc>
        <w:tc>
          <w:tcPr>
            <w:tcW w:w="5429" w:type="dxa"/>
            <w:vMerge w:val="restart"/>
            <w:vAlign w:val="center"/>
          </w:tcPr>
          <w:p w14:paraId="32777D5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《苏州市生活垃圾分类管理条例》</w:t>
            </w:r>
          </w:p>
          <w:p w14:paraId="5A7EB3C9">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rPr>
              <w:t>第七条</w:t>
            </w:r>
            <w:r>
              <w:rPr>
                <w:rFonts w:hint="eastAsia" w:ascii="仿宋_GB2312" w:hAnsi="仿宋_GB2312" w:eastAsia="仿宋_GB2312" w:cs="仿宋_GB2312"/>
                <w:color w:val="auto"/>
                <w:kern w:val="0"/>
                <w:sz w:val="20"/>
                <w:szCs w:val="20"/>
                <w:lang w:val="en-US" w:eastAsia="zh-CN"/>
              </w:rPr>
              <w:t>第一款</w:t>
            </w:r>
            <w:r>
              <w:rPr>
                <w:rFonts w:hint="eastAsia" w:ascii="仿宋_GB2312" w:hAnsi="仿宋_GB2312" w:eastAsia="仿宋_GB2312" w:cs="仿宋_GB2312"/>
                <w:color w:val="auto"/>
                <w:kern w:val="0"/>
                <w:sz w:val="20"/>
                <w:szCs w:val="20"/>
              </w:rPr>
              <w:t xml:space="preserve"> 市、县级市（区）环境卫生主管部门是本行政区域内生活垃圾分类管理工作的主管部门，负责生活垃圾分类管理工作的组织、协调、指导和监督。</w:t>
            </w:r>
          </w:p>
          <w:p w14:paraId="2EE4533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第二十二条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生活垃圾应当分类收集、分类运输，禁止将已分类的生活垃圾混合收集、运输。</w:t>
            </w:r>
          </w:p>
          <w:p w14:paraId="18CFECC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收集、运输单位应当按照下列规定，对生活垃圾进行分类收集、分类运输：</w:t>
            </w:r>
          </w:p>
          <w:p w14:paraId="428A1E65">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（一）对可回收物实行预约或者定期收集、运输，由生活垃圾分类投放管理责任人与收集、运输单位协商确定收运时间。</w:t>
            </w:r>
          </w:p>
          <w:p w14:paraId="2BC9DAA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（二）对有害垃圾实行定期收集、运输，由环境卫生主管部门确定收运时间，并向社会公布；也可以由生活垃圾分类投放管理责任人与收集、运输单位预约收运时间。</w:t>
            </w:r>
          </w:p>
          <w:p w14:paraId="2B02194B">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（三）对厨余垃圾和其他垃圾实行每日定时收集、运输，由环境卫生主管部门确定收运时间，并向社会公布。</w:t>
            </w:r>
          </w:p>
          <w:p w14:paraId="7F38475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第二十四条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生活垃圾收集、运输单位应当按照技术标准、</w:t>
            </w:r>
          </w:p>
          <w:p w14:paraId="044D3370">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行业规范和操作规程进行收集、运输，并遵守下列作业要求：</w:t>
            </w:r>
          </w:p>
          <w:p w14:paraId="287903A3">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（一）配备符合要求的收集、运输设备，并保持运输工具功能完好、标识明显、外观整洁；</w:t>
            </w:r>
          </w:p>
          <w:p w14:paraId="54EF076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（二）按照规定的时间、路线和要求分类收集、运输生活垃圾，避免或者减少噪声扰民和交通拥堵，防止遗撒生活垃圾、滴漏污水；</w:t>
            </w:r>
          </w:p>
          <w:p w14:paraId="60D9A84F">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（三）及时将生活垃圾运送至集中收集设施或者符合规定的</w:t>
            </w:r>
          </w:p>
          <w:p w14:paraId="3F5DB1D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中转、处置场所，不得随意倾倒、丢弃、堆放；</w:t>
            </w:r>
          </w:p>
          <w:p w14:paraId="722C74B2">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（四）建立台账，记录生活垃圾来源、种类、数量、去向等；</w:t>
            </w:r>
          </w:p>
          <w:p w14:paraId="2364D5E3">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（五）有关生活垃圾分类收集、运输的其他作业要求。</w:t>
            </w:r>
          </w:p>
          <w:p w14:paraId="0C8CC68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第二十五条</w:t>
            </w:r>
            <w:r>
              <w:rPr>
                <w:rFonts w:hint="eastAsia" w:ascii="仿宋_GB2312" w:hAnsi="仿宋_GB2312" w:eastAsia="仿宋_GB2312" w:cs="仿宋_GB2312"/>
                <w:color w:val="auto"/>
                <w:kern w:val="0"/>
                <w:sz w:val="20"/>
                <w:szCs w:val="20"/>
                <w:shd w:val="clear" w:color="auto" w:fill="FFFFFF"/>
                <w:lang w:val="en-US" w:eastAsia="zh-CN"/>
              </w:rPr>
              <w:t xml:space="preserve">  </w:t>
            </w:r>
            <w:r>
              <w:rPr>
                <w:rFonts w:hint="eastAsia" w:ascii="仿宋_GB2312" w:hAnsi="仿宋_GB2312" w:eastAsia="仿宋_GB2312" w:cs="仿宋_GB2312"/>
                <w:color w:val="auto"/>
                <w:kern w:val="0"/>
                <w:sz w:val="20"/>
                <w:szCs w:val="20"/>
                <w:shd w:val="clear" w:color="auto" w:fill="FFFFFF"/>
              </w:rPr>
              <w:t>生活垃圾处置单位应当按照国家、省有关规定和技术标准分类处置生活垃圾。</w:t>
            </w:r>
          </w:p>
          <w:p w14:paraId="5FE0B58E">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rPr>
              <w:t>鼓励生活垃圾处置单位投保环境污染责任保险。</w:t>
            </w:r>
          </w:p>
          <w:p w14:paraId="630D8505">
            <w:pPr>
              <w:snapToGrid w:val="0"/>
              <w:ind w:left="0" w:leftChars="0" w:right="0" w:rightChars="0" w:firstLine="0" w:firstLineChars="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shd w:val="clear" w:color="auto" w:fill="FFFFFF"/>
              </w:rPr>
              <w:t>第四十三条 市、县级市（区）环境卫生主管部门应当加强对生活垃圾分类投放、收集、运输、处置等环节的监督检查，建立相应的监督检查机制，及时发现和查处违法行为。相关部门应当协同开展监督检查。</w:t>
            </w:r>
          </w:p>
        </w:tc>
        <w:tc>
          <w:tcPr>
            <w:tcW w:w="778" w:type="dxa"/>
            <w:vMerge w:val="restart"/>
            <w:vAlign w:val="center"/>
          </w:tcPr>
          <w:p w14:paraId="5EFE09E4">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81" w:type="dxa"/>
            <w:vMerge w:val="restart"/>
            <w:vAlign w:val="center"/>
          </w:tcPr>
          <w:p w14:paraId="7FA27DA1">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610" w:type="dxa"/>
            <w:vAlign w:val="center"/>
          </w:tcPr>
          <w:p w14:paraId="52376D21">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3202SZ214000</w:t>
            </w:r>
          </w:p>
        </w:tc>
        <w:tc>
          <w:tcPr>
            <w:tcW w:w="2488" w:type="dxa"/>
            <w:vAlign w:val="center"/>
          </w:tcPr>
          <w:p w14:paraId="7E99B3A5">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对生活垃圾收集、运输单位将已分类的生活垃圾混合收集、运输的处罚</w:t>
            </w:r>
          </w:p>
        </w:tc>
        <w:tc>
          <w:tcPr>
            <w:tcW w:w="474" w:type="dxa"/>
            <w:vMerge w:val="restart"/>
            <w:vAlign w:val="center"/>
          </w:tcPr>
          <w:p w14:paraId="1A279120">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38CA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10366DB6">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962" w:type="dxa"/>
            <w:vMerge w:val="continue"/>
            <w:vAlign w:val="center"/>
          </w:tcPr>
          <w:p w14:paraId="025E6804">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663" w:type="dxa"/>
            <w:vMerge w:val="continue"/>
            <w:vAlign w:val="center"/>
          </w:tcPr>
          <w:p w14:paraId="38E243FD">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675" w:type="dxa"/>
            <w:vMerge w:val="continue"/>
            <w:vAlign w:val="center"/>
          </w:tcPr>
          <w:p w14:paraId="1018694E">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1162" w:type="dxa"/>
            <w:vMerge w:val="continue"/>
            <w:vAlign w:val="center"/>
          </w:tcPr>
          <w:p w14:paraId="0A220C1A">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5429" w:type="dxa"/>
            <w:vMerge w:val="continue"/>
            <w:vAlign w:val="center"/>
          </w:tcPr>
          <w:p w14:paraId="7ABF188C">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778" w:type="dxa"/>
            <w:vMerge w:val="continue"/>
            <w:vAlign w:val="center"/>
          </w:tcPr>
          <w:p w14:paraId="1EA0785F">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981" w:type="dxa"/>
            <w:vMerge w:val="continue"/>
            <w:vAlign w:val="center"/>
          </w:tcPr>
          <w:p w14:paraId="7BEC08CF">
            <w:pPr>
              <w:keepNext w:val="0"/>
              <w:keepLines w:val="0"/>
              <w:widowControl/>
              <w:suppressLineNumbers w:val="0"/>
              <w:snapToGrid w:val="0"/>
              <w:ind w:left="0" w:leftChars="0" w:right="0" w:rightChars="0" w:firstLine="0" w:firstLineChars="0"/>
              <w:jc w:val="center"/>
              <w:textAlignment w:val="center"/>
              <w:rPr>
                <w:rFonts w:ascii="Calibri" w:hAnsi="Calibri" w:eastAsia="宋体" w:cs="Calibri"/>
                <w:sz w:val="20"/>
                <w:szCs w:val="20"/>
              </w:rPr>
            </w:pPr>
          </w:p>
        </w:tc>
        <w:tc>
          <w:tcPr>
            <w:tcW w:w="1610" w:type="dxa"/>
            <w:vAlign w:val="center"/>
          </w:tcPr>
          <w:p w14:paraId="1E3CD4A0">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3202SZ215000</w:t>
            </w:r>
          </w:p>
        </w:tc>
        <w:tc>
          <w:tcPr>
            <w:tcW w:w="2488" w:type="dxa"/>
            <w:vAlign w:val="center"/>
          </w:tcPr>
          <w:p w14:paraId="0124D5FE">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对生活垃圾收集、运输单位未保持运输工具功能完好、标识明显、外观整洁的处罚</w:t>
            </w:r>
          </w:p>
        </w:tc>
        <w:tc>
          <w:tcPr>
            <w:tcW w:w="474" w:type="dxa"/>
            <w:vMerge w:val="continue"/>
            <w:vAlign w:val="center"/>
          </w:tcPr>
          <w:p w14:paraId="57074C0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7B58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62E128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4FC995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00147AE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67E459C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113EE14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3CF9BB4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3CE23F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11150BF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3D150091">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3202SZ216000</w:t>
            </w:r>
          </w:p>
        </w:tc>
        <w:tc>
          <w:tcPr>
            <w:tcW w:w="2488" w:type="dxa"/>
            <w:vAlign w:val="center"/>
          </w:tcPr>
          <w:p w14:paraId="2CB3DA85">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对未及时将生活垃圾运送至集中收集设施或者符合规定的中转、处置场所的处罚</w:t>
            </w:r>
          </w:p>
        </w:tc>
        <w:tc>
          <w:tcPr>
            <w:tcW w:w="474" w:type="dxa"/>
            <w:vMerge w:val="continue"/>
            <w:vAlign w:val="center"/>
          </w:tcPr>
          <w:p w14:paraId="699FA6B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482E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324F05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7A0ABF9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4059A6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5654777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1F55EB1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0C64971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381798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4B677BF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7E26F113">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3202SZ217000</w:t>
            </w:r>
          </w:p>
        </w:tc>
        <w:tc>
          <w:tcPr>
            <w:tcW w:w="2488" w:type="dxa"/>
            <w:vAlign w:val="center"/>
          </w:tcPr>
          <w:p w14:paraId="41EF1AC7">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对未建立台账，记录生活垃圾来源、种类、数量、去向的处罚</w:t>
            </w:r>
          </w:p>
        </w:tc>
        <w:tc>
          <w:tcPr>
            <w:tcW w:w="474" w:type="dxa"/>
            <w:vMerge w:val="continue"/>
            <w:vAlign w:val="center"/>
          </w:tcPr>
          <w:p w14:paraId="0427D9A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5AA34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7C37FA6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0817548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3D8B56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50B272E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4437F64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56CAB41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029E788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79E8EDA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7C0D630D">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3210SZ013000</w:t>
            </w:r>
          </w:p>
        </w:tc>
        <w:tc>
          <w:tcPr>
            <w:tcW w:w="2488" w:type="dxa"/>
            <w:vAlign w:val="center"/>
          </w:tcPr>
          <w:p w14:paraId="7587143E">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厨余垃圾实行就地就近处置的处置方案备案</w:t>
            </w:r>
          </w:p>
        </w:tc>
        <w:tc>
          <w:tcPr>
            <w:tcW w:w="474" w:type="dxa"/>
            <w:vMerge w:val="continue"/>
            <w:vAlign w:val="center"/>
          </w:tcPr>
          <w:p w14:paraId="3ADC523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33E6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39C10ED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0B01F4D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267B821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6B468E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3DACFAF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2CB1154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2051ED5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109F2B9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68146EBA">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3210SZ014000</w:t>
            </w:r>
          </w:p>
        </w:tc>
        <w:tc>
          <w:tcPr>
            <w:tcW w:w="2488" w:type="dxa"/>
            <w:vAlign w:val="center"/>
          </w:tcPr>
          <w:p w14:paraId="7B6786D9">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生活垃圾收集、运输、处置单位的生活垃圾收集、运输、处置应急预案备案</w:t>
            </w:r>
          </w:p>
        </w:tc>
        <w:tc>
          <w:tcPr>
            <w:tcW w:w="474" w:type="dxa"/>
            <w:vMerge w:val="continue"/>
            <w:vAlign w:val="center"/>
          </w:tcPr>
          <w:p w14:paraId="432E634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567F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536" w:type="dxa"/>
            <w:vMerge w:val="continue"/>
            <w:vAlign w:val="center"/>
          </w:tcPr>
          <w:p w14:paraId="0502154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0382B1E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328D5EB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64A344C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5B26539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162AA7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169106F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72DDB07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20B82AF0">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3202SZ144000</w:t>
            </w:r>
          </w:p>
        </w:tc>
        <w:tc>
          <w:tcPr>
            <w:tcW w:w="2488" w:type="dxa"/>
            <w:vAlign w:val="center"/>
          </w:tcPr>
          <w:p w14:paraId="636C5A39">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对未将自行收集、运输和处置方案向市容环境卫生行政主管部门备案的处罚</w:t>
            </w:r>
          </w:p>
        </w:tc>
        <w:tc>
          <w:tcPr>
            <w:tcW w:w="474" w:type="dxa"/>
            <w:vMerge w:val="continue"/>
            <w:vAlign w:val="center"/>
          </w:tcPr>
          <w:p w14:paraId="109281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bl>
    <w:p w14:paraId="16D378EA">
      <w:pPr>
        <w:rPr>
          <w:rFonts w:ascii="Calibri" w:hAnsi="Calibri" w:eastAsia="宋体" w:cs="Calibri"/>
        </w:rPr>
      </w:pPr>
    </w:p>
    <w:tbl>
      <w:tblPr>
        <w:tblStyle w:val="4"/>
        <w:tblW w:w="15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962"/>
        <w:gridCol w:w="663"/>
        <w:gridCol w:w="675"/>
        <w:gridCol w:w="1162"/>
        <w:gridCol w:w="5429"/>
        <w:gridCol w:w="778"/>
        <w:gridCol w:w="981"/>
        <w:gridCol w:w="1610"/>
        <w:gridCol w:w="2488"/>
        <w:gridCol w:w="474"/>
      </w:tblGrid>
      <w:tr w14:paraId="32EA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blHeader/>
          <w:jc w:val="center"/>
        </w:trPr>
        <w:tc>
          <w:tcPr>
            <w:tcW w:w="536" w:type="dxa"/>
            <w:vMerge w:val="restart"/>
            <w:shd w:val="clear" w:color="auto" w:fill="auto"/>
            <w:vAlign w:val="center"/>
          </w:tcPr>
          <w:p w14:paraId="0BBBC445">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序号</w:t>
            </w:r>
          </w:p>
        </w:tc>
        <w:tc>
          <w:tcPr>
            <w:tcW w:w="962" w:type="dxa"/>
            <w:vMerge w:val="restart"/>
            <w:shd w:val="clear" w:color="auto" w:fill="auto"/>
            <w:vAlign w:val="center"/>
          </w:tcPr>
          <w:p w14:paraId="6CF681DF">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453C4B0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事项</w:t>
            </w:r>
          </w:p>
        </w:tc>
        <w:tc>
          <w:tcPr>
            <w:tcW w:w="663" w:type="dxa"/>
            <w:vMerge w:val="restart"/>
            <w:shd w:val="clear" w:color="auto" w:fill="auto"/>
            <w:vAlign w:val="center"/>
          </w:tcPr>
          <w:p w14:paraId="3FDCF8C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检查主体</w:t>
            </w:r>
          </w:p>
        </w:tc>
        <w:tc>
          <w:tcPr>
            <w:tcW w:w="675" w:type="dxa"/>
            <w:vMerge w:val="restart"/>
            <w:shd w:val="clear" w:color="auto" w:fill="auto"/>
            <w:vAlign w:val="center"/>
          </w:tcPr>
          <w:p w14:paraId="20A4E560">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检查机构</w:t>
            </w:r>
          </w:p>
        </w:tc>
        <w:tc>
          <w:tcPr>
            <w:tcW w:w="1162" w:type="dxa"/>
            <w:vMerge w:val="restart"/>
            <w:shd w:val="clear" w:color="auto" w:fill="auto"/>
            <w:vAlign w:val="center"/>
          </w:tcPr>
          <w:p w14:paraId="3D63ECD3">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2416D92D">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对象</w:t>
            </w:r>
          </w:p>
        </w:tc>
        <w:tc>
          <w:tcPr>
            <w:tcW w:w="5429" w:type="dxa"/>
            <w:vMerge w:val="restart"/>
            <w:shd w:val="clear" w:color="auto" w:fill="auto"/>
            <w:vAlign w:val="center"/>
          </w:tcPr>
          <w:p w14:paraId="272FDE2E">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Times New Roman" w:eastAsia="黑体" w:cs="Calibri"/>
                <w:b w:val="0"/>
                <w:bCs/>
                <w:kern w:val="0"/>
                <w:sz w:val="22"/>
                <w:szCs w:val="22"/>
              </w:rPr>
              <w:t>检查依据</w:t>
            </w:r>
          </w:p>
        </w:tc>
        <w:tc>
          <w:tcPr>
            <w:tcW w:w="778" w:type="dxa"/>
            <w:vMerge w:val="restart"/>
            <w:shd w:val="clear" w:color="auto" w:fill="auto"/>
            <w:vAlign w:val="center"/>
          </w:tcPr>
          <w:p w14:paraId="01E43225">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检查方式</w:t>
            </w:r>
          </w:p>
        </w:tc>
        <w:tc>
          <w:tcPr>
            <w:tcW w:w="981" w:type="dxa"/>
            <w:vMerge w:val="restart"/>
            <w:shd w:val="clear" w:color="auto" w:fill="auto"/>
            <w:vAlign w:val="center"/>
          </w:tcPr>
          <w:p w14:paraId="5457D7C1">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4B639E98">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频次</w:t>
            </w:r>
          </w:p>
          <w:p w14:paraId="68FF2366">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（时间）</w:t>
            </w:r>
          </w:p>
        </w:tc>
        <w:tc>
          <w:tcPr>
            <w:tcW w:w="4098" w:type="dxa"/>
            <w:gridSpan w:val="2"/>
            <w:shd w:val="clear" w:color="auto" w:fill="auto"/>
            <w:vAlign w:val="center"/>
          </w:tcPr>
          <w:p w14:paraId="0E48254C">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ascii="Times New Roman" w:hAnsi="黑体" w:eastAsia="黑体" w:cs="Calibri"/>
                <w:b w:val="0"/>
                <w:bCs/>
                <w:kern w:val="0"/>
                <w:sz w:val="22"/>
                <w:szCs w:val="22"/>
              </w:rPr>
              <w:t>对应的行政权力事项</w:t>
            </w:r>
          </w:p>
        </w:tc>
        <w:tc>
          <w:tcPr>
            <w:tcW w:w="474" w:type="dxa"/>
            <w:vMerge w:val="restart"/>
            <w:vAlign w:val="center"/>
          </w:tcPr>
          <w:p w14:paraId="1D645BB6">
            <w:pPr>
              <w:snapToGrid w:val="0"/>
              <w:ind w:left="0" w:leftChars="0" w:right="0" w:rightChars="0" w:firstLine="0" w:firstLineChars="0"/>
              <w:jc w:val="center"/>
              <w:rPr>
                <w:rFonts w:hint="eastAsia" w:ascii="仿宋_GB2312" w:hAnsi="仿宋_GB2312" w:eastAsia="仿宋_GB2312" w:cs="仿宋_GB2312"/>
                <w:b/>
                <w:color w:val="auto"/>
                <w:kern w:val="0"/>
                <w:sz w:val="21"/>
                <w:szCs w:val="21"/>
                <w:lang w:val="en-US" w:eastAsia="zh-CN"/>
              </w:rPr>
            </w:pPr>
            <w:r>
              <w:rPr>
                <w:rFonts w:hint="eastAsia" w:ascii="黑体" w:hAnsi="黑体" w:eastAsia="黑体" w:cs="黑体"/>
                <w:b w:val="0"/>
                <w:bCs/>
                <w:color w:val="auto"/>
                <w:kern w:val="0"/>
                <w:sz w:val="22"/>
                <w:szCs w:val="22"/>
                <w:lang w:val="en-US" w:eastAsia="zh-CN"/>
              </w:rPr>
              <w:t>备注</w:t>
            </w:r>
          </w:p>
        </w:tc>
      </w:tr>
      <w:tr w14:paraId="70B7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8" w:hRule="atLeast"/>
          <w:tblHeader/>
          <w:jc w:val="center"/>
        </w:trPr>
        <w:tc>
          <w:tcPr>
            <w:tcW w:w="536" w:type="dxa"/>
            <w:vMerge w:val="continue"/>
            <w:vAlign w:val="center"/>
          </w:tcPr>
          <w:p w14:paraId="55966A2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962" w:type="dxa"/>
            <w:vMerge w:val="continue"/>
            <w:vAlign w:val="center"/>
          </w:tcPr>
          <w:p w14:paraId="3580745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p>
        </w:tc>
        <w:tc>
          <w:tcPr>
            <w:tcW w:w="663" w:type="dxa"/>
            <w:vMerge w:val="continue"/>
            <w:vAlign w:val="center"/>
          </w:tcPr>
          <w:p w14:paraId="15D8E39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675" w:type="dxa"/>
            <w:vMerge w:val="continue"/>
            <w:vAlign w:val="center"/>
          </w:tcPr>
          <w:p w14:paraId="03F211B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162" w:type="dxa"/>
            <w:vMerge w:val="continue"/>
            <w:vAlign w:val="center"/>
          </w:tcPr>
          <w:p w14:paraId="0A9486BC">
            <w:pPr>
              <w:overflowPunct w:val="0"/>
              <w:autoSpaceDE w:val="0"/>
              <w:autoSpaceDN w:val="0"/>
              <w:snapToGrid w:val="0"/>
              <w:spacing w:line="240" w:lineRule="auto"/>
              <w:ind w:left="0" w:leftChars="0" w:right="0" w:rightChars="0" w:firstLine="0" w:firstLineChars="0"/>
              <w:jc w:val="both"/>
              <w:rPr>
                <w:rFonts w:hint="eastAsia" w:ascii="仿宋_GB2312" w:hAnsi="仿宋_GB2312" w:eastAsia="仿宋_GB2312" w:cs="仿宋_GB2312"/>
                <w:color w:val="auto"/>
                <w:kern w:val="0"/>
                <w:sz w:val="20"/>
                <w:szCs w:val="20"/>
                <w:shd w:val="clear" w:color="auto" w:fill="FFFFFF"/>
              </w:rPr>
            </w:pPr>
          </w:p>
        </w:tc>
        <w:tc>
          <w:tcPr>
            <w:tcW w:w="5429" w:type="dxa"/>
            <w:vMerge w:val="continue"/>
            <w:vAlign w:val="center"/>
          </w:tcPr>
          <w:p w14:paraId="4067C4C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p>
        </w:tc>
        <w:tc>
          <w:tcPr>
            <w:tcW w:w="778" w:type="dxa"/>
            <w:vMerge w:val="continue"/>
            <w:vAlign w:val="center"/>
          </w:tcPr>
          <w:p w14:paraId="4B67D797">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p>
        </w:tc>
        <w:tc>
          <w:tcPr>
            <w:tcW w:w="981" w:type="dxa"/>
            <w:vMerge w:val="continue"/>
            <w:vAlign w:val="center"/>
          </w:tcPr>
          <w:p w14:paraId="757E6CBE">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p>
        </w:tc>
        <w:tc>
          <w:tcPr>
            <w:tcW w:w="1610" w:type="dxa"/>
            <w:shd w:val="clear" w:color="auto" w:fill="auto"/>
            <w:vAlign w:val="center"/>
          </w:tcPr>
          <w:p w14:paraId="1D340EA4">
            <w:pPr>
              <w:snapToGrid w:val="0"/>
              <w:ind w:left="0" w:leftChars="0" w:right="0" w:rightChars="0" w:firstLine="0" w:firstLineChars="0"/>
              <w:jc w:val="center"/>
              <w:rPr>
                <w:rFonts w:hint="default" w:ascii="Times New Roman" w:hAnsi="黑体" w:eastAsia="黑体" w:cs="Calibri"/>
                <w:b w:val="0"/>
                <w:bCs/>
                <w:kern w:val="0"/>
                <w:sz w:val="22"/>
                <w:szCs w:val="22"/>
                <w:lang w:val="en-US" w:eastAsia="zh-CN" w:bidi="ar-SA"/>
              </w:rPr>
            </w:pPr>
            <w:r>
              <w:rPr>
                <w:rFonts w:ascii="Times New Roman" w:hAnsi="黑体" w:eastAsia="黑体" w:cs="Calibri"/>
                <w:b w:val="0"/>
                <w:bCs/>
                <w:kern w:val="0"/>
                <w:sz w:val="22"/>
                <w:szCs w:val="22"/>
              </w:rPr>
              <w:t>权力编码</w:t>
            </w:r>
          </w:p>
        </w:tc>
        <w:tc>
          <w:tcPr>
            <w:tcW w:w="2488" w:type="dxa"/>
            <w:shd w:val="clear" w:color="auto" w:fill="auto"/>
            <w:vAlign w:val="center"/>
          </w:tcPr>
          <w:p w14:paraId="5DE46F3D">
            <w:pPr>
              <w:snapToGrid w:val="0"/>
              <w:ind w:left="0" w:leftChars="0" w:right="0" w:rightChars="0" w:firstLine="0" w:firstLineChars="0"/>
              <w:jc w:val="center"/>
              <w:rPr>
                <w:rFonts w:hint="eastAsia" w:ascii="Times New Roman" w:hAnsi="黑体" w:eastAsia="黑体" w:cs="Calibri"/>
                <w:b w:val="0"/>
                <w:bCs/>
                <w:kern w:val="0"/>
                <w:sz w:val="22"/>
                <w:szCs w:val="22"/>
                <w:lang w:val="en-US" w:eastAsia="zh-CN" w:bidi="ar-SA"/>
              </w:rPr>
            </w:pPr>
            <w:r>
              <w:rPr>
                <w:rFonts w:ascii="Times New Roman" w:hAnsi="黑体" w:eastAsia="黑体" w:cs="Calibri"/>
                <w:b w:val="0"/>
                <w:bCs/>
                <w:kern w:val="0"/>
                <w:sz w:val="22"/>
                <w:szCs w:val="22"/>
              </w:rPr>
              <w:t>权力名称</w:t>
            </w:r>
          </w:p>
        </w:tc>
        <w:tc>
          <w:tcPr>
            <w:tcW w:w="474" w:type="dxa"/>
            <w:vMerge w:val="continue"/>
            <w:vAlign w:val="center"/>
          </w:tcPr>
          <w:p w14:paraId="6E92F9FD">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r w14:paraId="1C0B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restart"/>
            <w:shd w:val="clear" w:color="auto" w:fill="auto"/>
            <w:vAlign w:val="center"/>
          </w:tcPr>
          <w:p w14:paraId="6FF00521">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2.5</w:t>
            </w:r>
          </w:p>
        </w:tc>
        <w:tc>
          <w:tcPr>
            <w:tcW w:w="962" w:type="dxa"/>
            <w:vMerge w:val="restart"/>
            <w:shd w:val="clear" w:color="auto" w:fill="auto"/>
            <w:vAlign w:val="center"/>
          </w:tcPr>
          <w:p w14:paraId="4EED74F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对城市市容和环境卫生相关行为的行政检查</w:t>
            </w:r>
            <w:r>
              <w:rPr>
                <w:rFonts w:hint="eastAsia" w:ascii="仿宋_GB2312" w:hAnsi="仿宋_GB2312" w:eastAsia="仿宋_GB2312" w:cs="仿宋_GB2312"/>
                <w:color w:val="auto"/>
                <w:kern w:val="0"/>
                <w:sz w:val="20"/>
                <w:szCs w:val="20"/>
                <w:lang w:eastAsia="zh-CN"/>
              </w:rPr>
              <w:t>（</w:t>
            </w:r>
            <w:r>
              <w:rPr>
                <w:rFonts w:hint="eastAsia" w:ascii="仿宋_GB2312" w:hAnsi="仿宋_GB2312" w:eastAsia="仿宋_GB2312" w:cs="仿宋_GB2312"/>
                <w:color w:val="auto"/>
                <w:kern w:val="0"/>
                <w:sz w:val="20"/>
                <w:szCs w:val="20"/>
                <w:lang w:val="en-US" w:eastAsia="zh-CN"/>
              </w:rPr>
              <w:t>续上页</w:t>
            </w:r>
            <w:r>
              <w:rPr>
                <w:rFonts w:hint="eastAsia" w:ascii="仿宋_GB2312" w:hAnsi="仿宋_GB2312" w:eastAsia="仿宋_GB2312" w:cs="仿宋_GB2312"/>
                <w:color w:val="auto"/>
                <w:kern w:val="0"/>
                <w:sz w:val="20"/>
                <w:szCs w:val="20"/>
                <w:lang w:eastAsia="zh-CN"/>
              </w:rPr>
              <w:t>）</w:t>
            </w:r>
          </w:p>
        </w:tc>
        <w:tc>
          <w:tcPr>
            <w:tcW w:w="663" w:type="dxa"/>
            <w:vMerge w:val="restart"/>
            <w:shd w:val="clear" w:color="auto" w:fill="auto"/>
            <w:vAlign w:val="center"/>
          </w:tcPr>
          <w:p w14:paraId="4BDC8F1D">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675" w:type="dxa"/>
            <w:vMerge w:val="restart"/>
            <w:shd w:val="clear" w:color="auto" w:fill="auto"/>
            <w:vAlign w:val="center"/>
          </w:tcPr>
          <w:p w14:paraId="6C324F1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lang w:val="en-US" w:eastAsia="zh-CN"/>
              </w:rPr>
              <w:t>城市管理部门</w:t>
            </w:r>
          </w:p>
        </w:tc>
        <w:tc>
          <w:tcPr>
            <w:tcW w:w="1162" w:type="dxa"/>
            <w:vMerge w:val="restart"/>
            <w:shd w:val="clear" w:color="auto" w:fill="auto"/>
            <w:vAlign w:val="center"/>
          </w:tcPr>
          <w:p w14:paraId="5B1CF36F">
            <w:pPr>
              <w:overflowPunct w:val="0"/>
              <w:autoSpaceDE w:val="0"/>
              <w:autoSpaceDN w:val="0"/>
              <w:snapToGrid w:val="0"/>
              <w:spacing w:line="240" w:lineRule="auto"/>
              <w:ind w:left="0" w:leftChars="0" w:right="0" w:rightChars="0" w:firstLine="0" w:firstLineChars="0"/>
              <w:jc w:val="both"/>
              <w:rPr>
                <w:rFonts w:hint="eastAsia" w:ascii="仿宋_GB2312" w:hAnsi="仿宋_GB2312" w:eastAsia="仿宋_GB2312" w:cs="仿宋_GB2312"/>
                <w:b/>
                <w:color w:val="auto"/>
                <w:kern w:val="0"/>
                <w:sz w:val="20"/>
                <w:szCs w:val="20"/>
                <w:lang w:val="en-US" w:eastAsia="zh-CN" w:bidi="ar-SA"/>
              </w:rPr>
            </w:pPr>
            <w:r>
              <w:rPr>
                <w:rFonts w:hint="eastAsia" w:ascii="仿宋_GB2312" w:hAnsi="仿宋_GB2312" w:eastAsia="仿宋_GB2312" w:cs="仿宋_GB2312"/>
                <w:color w:val="auto"/>
                <w:kern w:val="0"/>
                <w:sz w:val="20"/>
                <w:szCs w:val="20"/>
                <w:shd w:val="clear" w:color="auto" w:fill="FFFFFF"/>
              </w:rPr>
              <w:t>生活垃圾</w:t>
            </w:r>
            <w:r>
              <w:rPr>
                <w:rFonts w:hint="eastAsia" w:ascii="仿宋_GB2312" w:hAnsi="仿宋_GB2312" w:eastAsia="仿宋_GB2312" w:cs="仿宋_GB2312"/>
                <w:color w:val="auto"/>
                <w:kern w:val="0"/>
                <w:sz w:val="20"/>
                <w:szCs w:val="20"/>
                <w:shd w:val="clear" w:color="auto" w:fill="FFFFFF"/>
                <w:lang w:val="en-US" w:eastAsia="zh-CN"/>
              </w:rPr>
              <w:t>收集、运输、</w:t>
            </w:r>
            <w:r>
              <w:rPr>
                <w:rFonts w:hint="eastAsia" w:ascii="仿宋_GB2312" w:hAnsi="仿宋_GB2312" w:eastAsia="仿宋_GB2312" w:cs="仿宋_GB2312"/>
                <w:color w:val="auto"/>
                <w:kern w:val="0"/>
                <w:sz w:val="20"/>
                <w:szCs w:val="20"/>
                <w:shd w:val="clear" w:color="auto" w:fill="FFFFFF"/>
              </w:rPr>
              <w:t>处置单位</w:t>
            </w:r>
            <w:r>
              <w:rPr>
                <w:rFonts w:hint="eastAsia" w:ascii="仿宋_GB2312" w:hAnsi="仿宋_GB2312" w:eastAsia="仿宋_GB2312" w:cs="仿宋_GB2312"/>
                <w:color w:val="auto"/>
                <w:kern w:val="0"/>
                <w:sz w:val="20"/>
                <w:szCs w:val="20"/>
                <w:shd w:val="clear" w:color="auto" w:fill="FFFFFF"/>
                <w:lang w:eastAsia="zh-CN"/>
              </w:rPr>
              <w:t>；餐厨垃圾收集、运输和处置</w:t>
            </w:r>
            <w:r>
              <w:rPr>
                <w:rFonts w:hint="eastAsia" w:ascii="仿宋_GB2312" w:hAnsi="仿宋_GB2312" w:eastAsia="仿宋_GB2312" w:cs="仿宋_GB2312"/>
                <w:color w:val="auto"/>
                <w:kern w:val="0"/>
                <w:sz w:val="20"/>
                <w:szCs w:val="20"/>
                <w:shd w:val="clear" w:color="auto" w:fill="FFFFFF"/>
                <w:lang w:val="en-US" w:eastAsia="zh-CN"/>
              </w:rPr>
              <w:t>单位</w:t>
            </w:r>
          </w:p>
        </w:tc>
        <w:tc>
          <w:tcPr>
            <w:tcW w:w="5429" w:type="dxa"/>
            <w:vMerge w:val="restart"/>
            <w:vAlign w:val="center"/>
          </w:tcPr>
          <w:p w14:paraId="18F6690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shd w:val="clear" w:color="auto" w:fill="FFFFFF"/>
              </w:rPr>
              <w:t>《苏州市餐厨垃圾管理办法》</w:t>
            </w:r>
          </w:p>
          <w:p w14:paraId="623E50F6">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第四条  市市容环境卫生行政主管部门负责本行政区域内有关餐厨垃圾的监督管理工作。</w:t>
            </w:r>
          </w:p>
          <w:p w14:paraId="6508CAB8">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lang w:val="en-US" w:eastAsia="zh-CN"/>
              </w:rPr>
            </w:pPr>
            <w:r>
              <w:rPr>
                <w:rFonts w:hint="eastAsia" w:ascii="仿宋_GB2312" w:hAnsi="仿宋_GB2312" w:eastAsia="仿宋_GB2312" w:cs="仿宋_GB2312"/>
                <w:color w:val="auto"/>
                <w:kern w:val="0"/>
                <w:sz w:val="20"/>
                <w:szCs w:val="20"/>
              </w:rPr>
              <w:t>县级市、区市容环境卫生行政主管部门根据管理权限，负责本辖区内有关餐厨垃圾的监督管理工作。</w:t>
            </w:r>
          </w:p>
          <w:p w14:paraId="05D7BDDD">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lang w:val="en-US" w:eastAsia="zh-CN"/>
              </w:rPr>
              <w:t>第十一条 餐厨垃圾应当实行密闭化运输，运输设备和容器应当具有餐厨垃圾标识，并保持整洁完好，运输中不得泄漏、撒落。</w:t>
            </w:r>
          </w:p>
          <w:p w14:paraId="4B60A4D6">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lang w:val="en-US" w:eastAsia="zh-CN"/>
              </w:rPr>
              <w:t>第十二条 餐厨垃圾处置单位应当按照有关规定，维护处置场所周围的市容环境卫生，并应当按照环境保护的有关规定，在处理过程中采取有效的污染防治措施；使用微生物菌剂处理餐厨垃圾的，应当使用符合规定的微生物菌剂，并采取相应的安全控制措施。</w:t>
            </w:r>
          </w:p>
          <w:p w14:paraId="33FE5EF1">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lang w:val="en-US" w:eastAsia="zh-CN"/>
              </w:rPr>
              <w:t>餐厨垃圾处置单位应当保持处理设施持续稳定运行，设备停产检修应当提前15天书面报告市容环境卫生行政主管部门。</w:t>
            </w:r>
          </w:p>
          <w:p w14:paraId="169CEEDA">
            <w:pPr>
              <w:snapToGrid w:val="0"/>
              <w:ind w:left="0" w:leftChars="0" w:right="0" w:rightChars="0" w:firstLine="0" w:firstLineChars="0"/>
              <w:jc w:val="left"/>
              <w:rPr>
                <w:rFonts w:hint="eastAsia" w:ascii="仿宋_GB2312" w:hAnsi="仿宋_GB2312" w:eastAsia="仿宋_GB2312" w:cs="仿宋_GB2312"/>
                <w:color w:val="auto"/>
                <w:kern w:val="0"/>
                <w:sz w:val="20"/>
                <w:szCs w:val="20"/>
                <w:shd w:val="clear" w:color="auto" w:fill="FFFFFF"/>
              </w:rPr>
            </w:pPr>
            <w:r>
              <w:rPr>
                <w:rFonts w:hint="eastAsia" w:ascii="仿宋_GB2312" w:hAnsi="仿宋_GB2312" w:eastAsia="仿宋_GB2312" w:cs="仿宋_GB2312"/>
                <w:color w:val="auto"/>
                <w:kern w:val="0"/>
                <w:sz w:val="20"/>
                <w:szCs w:val="20"/>
                <w:shd w:val="clear" w:color="auto" w:fill="FFFFFF"/>
                <w:lang w:val="en-US" w:eastAsia="zh-CN"/>
              </w:rPr>
              <w:t>第十三条第二款  餐厨垃圾的收运单位和处置单位应当建立收运、处置台账，保证数据的真实性,并每月向所在地市容环境卫生行政主管部门申报餐厨垃圾的种类、数量等情况。</w:t>
            </w:r>
          </w:p>
          <w:p w14:paraId="5B701DD2">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第十六条 市容环境卫生行政主管部门应当加强对餐厨垃圾收集、运输和处置活动的监督检查，可以聘请市民担任市容环境卫生监督员，对违反本办法的行为进行监督。</w:t>
            </w:r>
          </w:p>
          <w:p w14:paraId="4DA443C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被检查的单位或者个人应当如实反映情况，提供与检查内容有关的资料，不得弄虚作假或者隐瞒事实，不得拒绝或者阻挠检查。</w:t>
            </w:r>
          </w:p>
        </w:tc>
        <w:tc>
          <w:tcPr>
            <w:tcW w:w="778" w:type="dxa"/>
            <w:vMerge w:val="restart"/>
            <w:vAlign w:val="center"/>
          </w:tcPr>
          <w:p w14:paraId="04B44A1C">
            <w:pPr>
              <w:snapToGrid w:val="0"/>
              <w:ind w:left="0" w:leftChars="0" w:right="0" w:rightChars="0" w:firstLine="0" w:firstLineChars="0"/>
              <w:jc w:val="left"/>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81" w:type="dxa"/>
            <w:vMerge w:val="restart"/>
            <w:vAlign w:val="center"/>
          </w:tcPr>
          <w:p w14:paraId="7F2DAED3">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610" w:type="dxa"/>
            <w:vAlign w:val="center"/>
          </w:tcPr>
          <w:p w14:paraId="6E8FDA4B">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3202SZ146000</w:t>
            </w:r>
          </w:p>
        </w:tc>
        <w:tc>
          <w:tcPr>
            <w:tcW w:w="2488" w:type="dxa"/>
            <w:vAlign w:val="center"/>
          </w:tcPr>
          <w:p w14:paraId="2712E028">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对餐厨垃圾处置单位设备停产检修，未在规定时间内报告的处罚</w:t>
            </w:r>
          </w:p>
        </w:tc>
        <w:tc>
          <w:tcPr>
            <w:tcW w:w="474" w:type="dxa"/>
            <w:vMerge w:val="restart"/>
            <w:vAlign w:val="center"/>
          </w:tcPr>
          <w:p w14:paraId="477A1C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3F90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133CC16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17EDFA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2DABD5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1C92558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3096D6F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18B11B4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452D2D4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192BB4F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5010C236">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3202SZ147000</w:t>
            </w:r>
          </w:p>
        </w:tc>
        <w:tc>
          <w:tcPr>
            <w:tcW w:w="2488" w:type="dxa"/>
            <w:vAlign w:val="center"/>
          </w:tcPr>
          <w:p w14:paraId="33210E5C">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对餐厨垃圾收运单位和处置单位建立的收运、处置台帐弄虚作假的处罚</w:t>
            </w:r>
          </w:p>
        </w:tc>
        <w:tc>
          <w:tcPr>
            <w:tcW w:w="474" w:type="dxa"/>
            <w:vMerge w:val="continue"/>
            <w:vAlign w:val="center"/>
          </w:tcPr>
          <w:p w14:paraId="61F7DB7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r w14:paraId="42242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536" w:type="dxa"/>
            <w:vMerge w:val="continue"/>
            <w:vAlign w:val="center"/>
          </w:tcPr>
          <w:p w14:paraId="56DCA07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62" w:type="dxa"/>
            <w:vMerge w:val="continue"/>
            <w:vAlign w:val="center"/>
          </w:tcPr>
          <w:p w14:paraId="10CC4F6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63" w:type="dxa"/>
            <w:vMerge w:val="continue"/>
            <w:vAlign w:val="center"/>
          </w:tcPr>
          <w:p w14:paraId="0A64CF2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675" w:type="dxa"/>
            <w:vMerge w:val="continue"/>
            <w:vAlign w:val="center"/>
          </w:tcPr>
          <w:p w14:paraId="01E3C4F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162" w:type="dxa"/>
            <w:vMerge w:val="continue"/>
            <w:vAlign w:val="center"/>
          </w:tcPr>
          <w:p w14:paraId="3A762B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5429" w:type="dxa"/>
            <w:vMerge w:val="continue"/>
            <w:vAlign w:val="center"/>
          </w:tcPr>
          <w:p w14:paraId="4E0ED5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778" w:type="dxa"/>
            <w:vMerge w:val="continue"/>
            <w:vAlign w:val="center"/>
          </w:tcPr>
          <w:p w14:paraId="1E6A125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981" w:type="dxa"/>
            <w:vMerge w:val="continue"/>
            <w:vAlign w:val="center"/>
          </w:tcPr>
          <w:p w14:paraId="54C98B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0"/>
                <w:szCs w:val="20"/>
              </w:rPr>
            </w:pPr>
          </w:p>
        </w:tc>
        <w:tc>
          <w:tcPr>
            <w:tcW w:w="1610" w:type="dxa"/>
            <w:vAlign w:val="center"/>
          </w:tcPr>
          <w:p w14:paraId="74C7FEB6">
            <w:pPr>
              <w:keepNext w:val="0"/>
              <w:keepLines w:val="0"/>
              <w:widowControl/>
              <w:suppressLineNumbers w:val="0"/>
              <w:jc w:val="center"/>
              <w:textAlignment w:val="center"/>
              <w:rPr>
                <w:rFonts w:hint="eastAsia" w:ascii="仿宋_GB2312" w:hAnsi="仿宋_GB2312" w:eastAsia="仿宋_GB2312" w:cs="仿宋_GB2312"/>
                <w:bCs/>
                <w:color w:val="auto"/>
                <w:kern w:val="0"/>
                <w:sz w:val="20"/>
                <w:szCs w:val="20"/>
              </w:rPr>
            </w:pPr>
            <w:r>
              <w:rPr>
                <w:rFonts w:hint="default" w:ascii="Times New Roman" w:hAnsi="Times New Roman" w:eastAsia="宋体" w:cs="Times New Roman"/>
                <w:i w:val="0"/>
                <w:iCs w:val="0"/>
                <w:color w:val="000000"/>
                <w:kern w:val="0"/>
                <w:sz w:val="20"/>
                <w:szCs w:val="20"/>
                <w:u w:val="none"/>
                <w:lang w:val="en-US" w:eastAsia="zh-CN" w:bidi="ar"/>
              </w:rPr>
              <w:t>3202SZ199000</w:t>
            </w:r>
          </w:p>
        </w:tc>
        <w:tc>
          <w:tcPr>
            <w:tcW w:w="2488" w:type="dxa"/>
            <w:vAlign w:val="center"/>
          </w:tcPr>
          <w:p w14:paraId="4FB82016">
            <w:pPr>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lang w:val="en-US" w:eastAsia="zh-CN"/>
              </w:rPr>
              <w:t>对食品生产经营者将餐厨垃圾倾倒在公共厕所或者生活垃圾收集设施中的处罚</w:t>
            </w:r>
          </w:p>
        </w:tc>
        <w:tc>
          <w:tcPr>
            <w:tcW w:w="474" w:type="dxa"/>
            <w:vAlign w:val="center"/>
          </w:tcPr>
          <w:p w14:paraId="39E90DD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Cs/>
                <w:color w:val="auto"/>
                <w:kern w:val="0"/>
                <w:sz w:val="21"/>
                <w:szCs w:val="21"/>
              </w:rPr>
            </w:pPr>
          </w:p>
        </w:tc>
      </w:tr>
    </w:tbl>
    <w:p w14:paraId="67501C55">
      <w:pPr>
        <w:rPr>
          <w:rFonts w:ascii="Calibri" w:hAnsi="Calibri" w:eastAsia="宋体" w:cs="Calibri"/>
        </w:rPr>
      </w:pPr>
      <w:r>
        <w:rPr>
          <w:rFonts w:ascii="Calibri" w:hAnsi="Calibri" w:eastAsia="宋体" w:cs="Calibri"/>
        </w:rPr>
        <w:br w:type="page"/>
      </w:r>
    </w:p>
    <w:p w14:paraId="0810428D">
      <w:pPr>
        <w:pStyle w:val="7"/>
      </w:pPr>
    </w:p>
    <w:tbl>
      <w:tblPr>
        <w:tblStyle w:val="4"/>
        <w:tblW w:w="15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962"/>
        <w:gridCol w:w="663"/>
        <w:gridCol w:w="675"/>
        <w:gridCol w:w="1162"/>
        <w:gridCol w:w="6376"/>
        <w:gridCol w:w="1038"/>
        <w:gridCol w:w="975"/>
        <w:gridCol w:w="1575"/>
        <w:gridCol w:w="1322"/>
        <w:gridCol w:w="474"/>
      </w:tblGrid>
      <w:tr w14:paraId="396D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jc w:val="center"/>
        </w:trPr>
        <w:tc>
          <w:tcPr>
            <w:tcW w:w="536" w:type="dxa"/>
            <w:vMerge w:val="restart"/>
            <w:shd w:val="clear" w:color="auto" w:fill="auto"/>
            <w:vAlign w:val="center"/>
          </w:tcPr>
          <w:p w14:paraId="03888BDF">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序号</w:t>
            </w:r>
          </w:p>
        </w:tc>
        <w:tc>
          <w:tcPr>
            <w:tcW w:w="962" w:type="dxa"/>
            <w:vMerge w:val="restart"/>
            <w:shd w:val="clear" w:color="auto" w:fill="auto"/>
            <w:vAlign w:val="center"/>
          </w:tcPr>
          <w:p w14:paraId="60A2D3CA">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71E00338">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事项</w:t>
            </w:r>
          </w:p>
        </w:tc>
        <w:tc>
          <w:tcPr>
            <w:tcW w:w="663" w:type="dxa"/>
            <w:vMerge w:val="restart"/>
            <w:shd w:val="clear" w:color="auto" w:fill="auto"/>
            <w:vAlign w:val="center"/>
          </w:tcPr>
          <w:p w14:paraId="1ADFA181">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检查主体</w:t>
            </w:r>
          </w:p>
        </w:tc>
        <w:tc>
          <w:tcPr>
            <w:tcW w:w="675" w:type="dxa"/>
            <w:vMerge w:val="restart"/>
            <w:shd w:val="clear" w:color="auto" w:fill="auto"/>
            <w:vAlign w:val="center"/>
          </w:tcPr>
          <w:p w14:paraId="427E370C">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检查机构</w:t>
            </w:r>
          </w:p>
        </w:tc>
        <w:tc>
          <w:tcPr>
            <w:tcW w:w="1162" w:type="dxa"/>
            <w:vMerge w:val="restart"/>
            <w:shd w:val="clear" w:color="auto" w:fill="auto"/>
            <w:vAlign w:val="center"/>
          </w:tcPr>
          <w:p w14:paraId="624B35D9">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w:t>
            </w:r>
          </w:p>
          <w:p w14:paraId="4F905B7A">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对象</w:t>
            </w:r>
          </w:p>
        </w:tc>
        <w:tc>
          <w:tcPr>
            <w:tcW w:w="6376" w:type="dxa"/>
            <w:vMerge w:val="restart"/>
            <w:shd w:val="clear" w:color="auto" w:fill="auto"/>
            <w:vAlign w:val="center"/>
          </w:tcPr>
          <w:p w14:paraId="76FDFC2B">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Times New Roman" w:eastAsia="黑体" w:cs="Calibri"/>
                <w:b w:val="0"/>
                <w:bCs/>
                <w:kern w:val="0"/>
                <w:sz w:val="22"/>
                <w:szCs w:val="22"/>
              </w:rPr>
              <w:t>检查依据</w:t>
            </w:r>
          </w:p>
        </w:tc>
        <w:tc>
          <w:tcPr>
            <w:tcW w:w="1038" w:type="dxa"/>
            <w:vMerge w:val="restart"/>
            <w:shd w:val="clear" w:color="auto" w:fill="auto"/>
            <w:vAlign w:val="center"/>
          </w:tcPr>
          <w:p w14:paraId="02315806">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检查方式</w:t>
            </w:r>
          </w:p>
        </w:tc>
        <w:tc>
          <w:tcPr>
            <w:tcW w:w="975" w:type="dxa"/>
            <w:vMerge w:val="restart"/>
            <w:shd w:val="clear" w:color="auto" w:fill="auto"/>
            <w:vAlign w:val="center"/>
          </w:tcPr>
          <w:p w14:paraId="1C2C287B">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检查频次</w:t>
            </w:r>
          </w:p>
          <w:p w14:paraId="7715507C">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（时间）</w:t>
            </w:r>
          </w:p>
        </w:tc>
        <w:tc>
          <w:tcPr>
            <w:tcW w:w="2897" w:type="dxa"/>
            <w:gridSpan w:val="2"/>
            <w:shd w:val="clear" w:color="auto" w:fill="auto"/>
            <w:vAlign w:val="center"/>
          </w:tcPr>
          <w:p w14:paraId="7485AC1D">
            <w:pPr>
              <w:snapToGrid w:val="0"/>
              <w:ind w:left="0" w:leftChars="0" w:right="0" w:rightChars="0" w:firstLine="0" w:firstLineChars="0"/>
              <w:jc w:val="center"/>
              <w:rPr>
                <w:rFonts w:hint="eastAsia" w:ascii="Times New Roman" w:hAnsi="Times New Roman" w:eastAsia="黑体" w:cs="Calibri"/>
                <w:b w:val="0"/>
                <w:bCs/>
                <w:kern w:val="0"/>
                <w:sz w:val="22"/>
                <w:szCs w:val="22"/>
                <w:lang w:val="en-US" w:eastAsia="zh-CN" w:bidi="ar-SA"/>
              </w:rPr>
            </w:pPr>
            <w:r>
              <w:rPr>
                <w:rFonts w:ascii="Times New Roman" w:hAnsi="黑体" w:eastAsia="黑体" w:cs="Calibri"/>
                <w:b w:val="0"/>
                <w:bCs/>
                <w:kern w:val="0"/>
                <w:sz w:val="22"/>
                <w:szCs w:val="22"/>
              </w:rPr>
              <w:t>对应的行政权力事项</w:t>
            </w:r>
          </w:p>
        </w:tc>
        <w:tc>
          <w:tcPr>
            <w:tcW w:w="474" w:type="dxa"/>
            <w:vMerge w:val="restart"/>
            <w:vAlign w:val="center"/>
          </w:tcPr>
          <w:p w14:paraId="27169345">
            <w:pPr>
              <w:snapToGrid w:val="0"/>
              <w:ind w:left="0" w:leftChars="0" w:right="0" w:rightChars="0" w:firstLine="0" w:firstLineChars="0"/>
              <w:jc w:val="center"/>
              <w:rPr>
                <w:rFonts w:hint="eastAsia" w:ascii="仿宋_GB2312" w:hAnsi="仿宋_GB2312" w:eastAsia="仿宋_GB2312" w:cs="仿宋_GB2312"/>
                <w:b/>
                <w:color w:val="auto"/>
                <w:kern w:val="0"/>
                <w:sz w:val="22"/>
                <w:szCs w:val="22"/>
              </w:rPr>
            </w:pPr>
            <w:r>
              <w:rPr>
                <w:rFonts w:ascii="Times New Roman" w:hAnsi="黑体" w:eastAsia="黑体" w:cs="Calibri"/>
                <w:b w:val="0"/>
                <w:bCs/>
                <w:kern w:val="0"/>
                <w:sz w:val="22"/>
                <w:szCs w:val="22"/>
              </w:rPr>
              <w:t>备注</w:t>
            </w:r>
          </w:p>
        </w:tc>
      </w:tr>
      <w:tr w14:paraId="23F2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jc w:val="center"/>
        </w:trPr>
        <w:tc>
          <w:tcPr>
            <w:tcW w:w="536" w:type="dxa"/>
            <w:vMerge w:val="continue"/>
            <w:shd w:val="clear" w:color="auto" w:fill="auto"/>
            <w:vAlign w:val="center"/>
          </w:tcPr>
          <w:p w14:paraId="7A107E7D">
            <w:pPr>
              <w:snapToGrid w:val="0"/>
              <w:ind w:left="0" w:leftChars="0" w:right="0" w:rightChars="0" w:firstLine="0" w:firstLineChars="0"/>
              <w:jc w:val="center"/>
              <w:rPr>
                <w:rFonts w:ascii="Calibri" w:hAnsi="Calibri" w:eastAsia="宋体" w:cs="Calibri"/>
              </w:rPr>
            </w:pPr>
          </w:p>
        </w:tc>
        <w:tc>
          <w:tcPr>
            <w:tcW w:w="962" w:type="dxa"/>
            <w:vMerge w:val="continue"/>
            <w:shd w:val="clear" w:color="auto" w:fill="auto"/>
            <w:vAlign w:val="center"/>
          </w:tcPr>
          <w:p w14:paraId="525CF823">
            <w:pPr>
              <w:snapToGrid w:val="0"/>
              <w:ind w:left="0" w:leftChars="0" w:right="0" w:rightChars="0" w:firstLine="0" w:firstLineChars="0"/>
              <w:jc w:val="center"/>
              <w:rPr>
                <w:rFonts w:ascii="Calibri" w:hAnsi="Calibri" w:eastAsia="宋体" w:cs="Calibri"/>
              </w:rPr>
            </w:pPr>
          </w:p>
        </w:tc>
        <w:tc>
          <w:tcPr>
            <w:tcW w:w="663" w:type="dxa"/>
            <w:vMerge w:val="continue"/>
            <w:shd w:val="clear" w:color="auto" w:fill="auto"/>
            <w:vAlign w:val="center"/>
          </w:tcPr>
          <w:p w14:paraId="4CA7AC05">
            <w:pPr>
              <w:snapToGrid w:val="0"/>
              <w:ind w:left="0" w:leftChars="0" w:right="0" w:rightChars="0" w:firstLine="0" w:firstLineChars="0"/>
              <w:jc w:val="center"/>
              <w:rPr>
                <w:rFonts w:ascii="Calibri" w:hAnsi="Calibri" w:eastAsia="宋体" w:cs="Calibri"/>
              </w:rPr>
            </w:pPr>
          </w:p>
        </w:tc>
        <w:tc>
          <w:tcPr>
            <w:tcW w:w="675" w:type="dxa"/>
            <w:vMerge w:val="continue"/>
            <w:shd w:val="clear" w:color="auto" w:fill="auto"/>
            <w:vAlign w:val="center"/>
          </w:tcPr>
          <w:p w14:paraId="01351A9F">
            <w:pPr>
              <w:snapToGrid w:val="0"/>
              <w:ind w:left="0" w:leftChars="0" w:right="0" w:rightChars="0" w:firstLine="0" w:firstLineChars="0"/>
              <w:jc w:val="center"/>
              <w:rPr>
                <w:rFonts w:ascii="Calibri" w:hAnsi="Calibri" w:eastAsia="宋体" w:cs="Calibri"/>
              </w:rPr>
            </w:pPr>
          </w:p>
        </w:tc>
        <w:tc>
          <w:tcPr>
            <w:tcW w:w="1162" w:type="dxa"/>
            <w:vMerge w:val="continue"/>
            <w:shd w:val="clear" w:color="auto" w:fill="auto"/>
            <w:vAlign w:val="center"/>
          </w:tcPr>
          <w:p w14:paraId="50F8DD7B">
            <w:pPr>
              <w:snapToGrid w:val="0"/>
              <w:ind w:left="0" w:leftChars="0" w:right="0" w:rightChars="0" w:firstLine="0" w:firstLineChars="0"/>
              <w:jc w:val="center"/>
              <w:rPr>
                <w:rFonts w:ascii="Calibri" w:hAnsi="Calibri" w:eastAsia="宋体" w:cs="Calibri"/>
              </w:rPr>
            </w:pPr>
          </w:p>
        </w:tc>
        <w:tc>
          <w:tcPr>
            <w:tcW w:w="6376" w:type="dxa"/>
            <w:vMerge w:val="continue"/>
            <w:shd w:val="clear" w:color="auto" w:fill="auto"/>
            <w:vAlign w:val="center"/>
          </w:tcPr>
          <w:p w14:paraId="671CEEE3">
            <w:pPr>
              <w:snapToGrid w:val="0"/>
              <w:ind w:left="0" w:leftChars="0" w:right="0" w:rightChars="0" w:firstLine="0" w:firstLineChars="0"/>
              <w:jc w:val="center"/>
              <w:rPr>
                <w:rFonts w:ascii="Calibri" w:hAnsi="Calibri" w:eastAsia="宋体" w:cs="Calibri"/>
              </w:rPr>
            </w:pPr>
          </w:p>
        </w:tc>
        <w:tc>
          <w:tcPr>
            <w:tcW w:w="1038" w:type="dxa"/>
            <w:vMerge w:val="continue"/>
            <w:shd w:val="clear" w:color="auto" w:fill="auto"/>
            <w:vAlign w:val="center"/>
          </w:tcPr>
          <w:p w14:paraId="212664C1">
            <w:pPr>
              <w:snapToGrid w:val="0"/>
              <w:ind w:left="0" w:leftChars="0" w:right="0" w:rightChars="0" w:firstLine="0" w:firstLineChars="0"/>
              <w:jc w:val="center"/>
              <w:rPr>
                <w:rFonts w:ascii="Calibri" w:hAnsi="Calibri" w:eastAsia="宋体" w:cs="Calibri"/>
              </w:rPr>
            </w:pPr>
          </w:p>
        </w:tc>
        <w:tc>
          <w:tcPr>
            <w:tcW w:w="975" w:type="dxa"/>
            <w:vMerge w:val="continue"/>
            <w:shd w:val="clear" w:color="auto" w:fill="auto"/>
            <w:vAlign w:val="center"/>
          </w:tcPr>
          <w:p w14:paraId="4CD664AD">
            <w:pPr>
              <w:snapToGrid w:val="0"/>
              <w:ind w:left="0" w:leftChars="0" w:right="0" w:rightChars="0" w:firstLine="0" w:firstLineChars="0"/>
              <w:jc w:val="center"/>
              <w:rPr>
                <w:rFonts w:ascii="Calibri" w:hAnsi="Calibri" w:eastAsia="宋体" w:cs="Calibri"/>
              </w:rPr>
            </w:pPr>
          </w:p>
        </w:tc>
        <w:tc>
          <w:tcPr>
            <w:tcW w:w="1575" w:type="dxa"/>
            <w:shd w:val="clear" w:color="auto" w:fill="auto"/>
            <w:vAlign w:val="center"/>
          </w:tcPr>
          <w:p w14:paraId="0972925C">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权力编码</w:t>
            </w:r>
          </w:p>
        </w:tc>
        <w:tc>
          <w:tcPr>
            <w:tcW w:w="1322" w:type="dxa"/>
            <w:shd w:val="clear" w:color="auto" w:fill="auto"/>
            <w:vAlign w:val="center"/>
          </w:tcPr>
          <w:p w14:paraId="62A1EE52">
            <w:pPr>
              <w:snapToGrid w:val="0"/>
              <w:ind w:left="0" w:leftChars="0" w:right="0" w:rightChars="0" w:firstLine="0" w:firstLineChars="0"/>
              <w:jc w:val="center"/>
              <w:rPr>
                <w:rFonts w:ascii="Times New Roman" w:hAnsi="黑体" w:eastAsia="黑体" w:cs="Calibri"/>
                <w:b w:val="0"/>
                <w:bCs/>
                <w:kern w:val="0"/>
                <w:sz w:val="22"/>
                <w:szCs w:val="22"/>
              </w:rPr>
            </w:pPr>
            <w:r>
              <w:rPr>
                <w:rFonts w:ascii="Times New Roman" w:hAnsi="黑体" w:eastAsia="黑体" w:cs="Calibri"/>
                <w:b w:val="0"/>
                <w:bCs/>
                <w:kern w:val="0"/>
                <w:sz w:val="22"/>
                <w:szCs w:val="22"/>
              </w:rPr>
              <w:t>权力名称</w:t>
            </w:r>
          </w:p>
        </w:tc>
        <w:tc>
          <w:tcPr>
            <w:tcW w:w="474" w:type="dxa"/>
            <w:vMerge w:val="continue"/>
            <w:vAlign w:val="center"/>
          </w:tcPr>
          <w:p w14:paraId="344AA652">
            <w:pPr>
              <w:snapToGrid w:val="0"/>
              <w:ind w:left="0" w:leftChars="0" w:right="0" w:rightChars="0" w:firstLine="0" w:firstLineChars="0"/>
              <w:jc w:val="center"/>
              <w:rPr>
                <w:rFonts w:ascii="Times New Roman" w:hAnsi="黑体" w:eastAsia="黑体" w:cs="Calibri"/>
                <w:b w:val="0"/>
                <w:bCs/>
                <w:kern w:val="0"/>
                <w:sz w:val="24"/>
                <w:szCs w:val="24"/>
              </w:rPr>
            </w:pPr>
          </w:p>
        </w:tc>
      </w:tr>
      <w:tr w14:paraId="19F5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6" w:type="dxa"/>
            <w:vAlign w:val="center"/>
          </w:tcPr>
          <w:p w14:paraId="48D968D6">
            <w:pPr>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2.6</w:t>
            </w:r>
          </w:p>
        </w:tc>
        <w:tc>
          <w:tcPr>
            <w:tcW w:w="962" w:type="dxa"/>
            <w:vAlign w:val="center"/>
          </w:tcPr>
          <w:p w14:paraId="1853D96E">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对城市市容和环境卫生相关行为的行政检查</w:t>
            </w:r>
          </w:p>
        </w:tc>
        <w:tc>
          <w:tcPr>
            <w:tcW w:w="663" w:type="dxa"/>
            <w:vAlign w:val="center"/>
          </w:tcPr>
          <w:p w14:paraId="360D795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675" w:type="dxa"/>
            <w:vAlign w:val="center"/>
          </w:tcPr>
          <w:p w14:paraId="14488361">
            <w:pPr>
              <w:overflowPunct w:val="0"/>
              <w:autoSpaceDE w:val="0"/>
              <w:autoSpaceDN w:val="0"/>
              <w:snapToGrid w:val="0"/>
              <w:ind w:left="0" w:leftChars="0" w:right="0" w:rightChars="0" w:firstLine="0" w:firstLineChars="0"/>
              <w:jc w:val="center"/>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城市管理部门</w:t>
            </w:r>
          </w:p>
        </w:tc>
        <w:tc>
          <w:tcPr>
            <w:tcW w:w="1162" w:type="dxa"/>
            <w:vAlign w:val="center"/>
          </w:tcPr>
          <w:p w14:paraId="70C446A8">
            <w:pPr>
              <w:overflowPunct w:val="0"/>
              <w:autoSpaceDE w:val="0"/>
              <w:autoSpaceDN w:val="0"/>
              <w:snapToGrid w:val="0"/>
              <w:spacing w:line="240" w:lineRule="auto"/>
              <w:ind w:left="0" w:leftChars="0" w:right="0" w:rightChars="0" w:firstLine="0" w:firstLineChars="0"/>
              <w:jc w:val="center"/>
              <w:rPr>
                <w:rFonts w:hint="eastAsia" w:ascii="仿宋_GB2312" w:hAnsi="仿宋_GB2312" w:eastAsia="仿宋_GB2312" w:cs="仿宋_GB2312"/>
                <w:color w:val="auto"/>
                <w:kern w:val="0"/>
                <w:sz w:val="20"/>
                <w:szCs w:val="20"/>
                <w:shd w:val="clear" w:color="auto" w:fill="FFFFFF"/>
                <w:lang w:eastAsia="zh-CN"/>
              </w:rPr>
            </w:pPr>
            <w:r>
              <w:rPr>
                <w:rFonts w:hint="eastAsia" w:ascii="仿宋_GB2312" w:hAnsi="仿宋_GB2312" w:eastAsia="仿宋_GB2312" w:cs="仿宋_GB2312"/>
                <w:color w:val="auto"/>
                <w:sz w:val="20"/>
                <w:szCs w:val="20"/>
              </w:rPr>
              <w:t>处置建筑垃圾的单位</w:t>
            </w: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建筑垃圾储运消纳场</w:t>
            </w:r>
          </w:p>
        </w:tc>
        <w:tc>
          <w:tcPr>
            <w:tcW w:w="6376" w:type="dxa"/>
            <w:vAlign w:val="center"/>
          </w:tcPr>
          <w:p w14:paraId="45F274AD">
            <w:pPr>
              <w:pStyle w:val="7"/>
              <w:snapToGrid w:val="0"/>
              <w:ind w:left="0" w:leftChars="0" w:right="0" w:rightChars="0" w:firstLine="0" w:firstLineChars="0"/>
              <w:jc w:val="left"/>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eastAsia="zh-CN"/>
              </w:rPr>
              <w:t>《</w:t>
            </w:r>
            <w:r>
              <w:rPr>
                <w:rFonts w:hint="eastAsia" w:ascii="仿宋_GB2312" w:hAnsi="仿宋_GB2312" w:eastAsia="仿宋_GB2312" w:cs="仿宋_GB2312"/>
                <w:color w:val="auto"/>
                <w:sz w:val="20"/>
                <w:szCs w:val="20"/>
              </w:rPr>
              <w:t>苏州市城市建筑垃圾管理办法</w:t>
            </w:r>
            <w:r>
              <w:rPr>
                <w:rFonts w:hint="eastAsia" w:ascii="仿宋_GB2312" w:hAnsi="仿宋_GB2312" w:eastAsia="仿宋_GB2312" w:cs="仿宋_GB2312"/>
                <w:color w:val="auto"/>
                <w:sz w:val="20"/>
                <w:szCs w:val="20"/>
                <w:lang w:eastAsia="zh-CN"/>
              </w:rPr>
              <w:t>》</w:t>
            </w:r>
          </w:p>
          <w:p w14:paraId="56830258">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第三条 苏州市市政公用局是本市市区环境卫生行政主管部门，负责建筑垃圾的管理工作。</w:t>
            </w:r>
          </w:p>
          <w:p w14:paraId="477B7823">
            <w:pPr>
              <w:overflowPunct w:val="0"/>
              <w:autoSpaceDE w:val="0"/>
              <w:autoSpaceDN w:val="0"/>
              <w:snapToGrid w:val="0"/>
              <w:ind w:left="0" w:leftChars="0" w:right="0" w:rightChars="0" w:firstLine="0" w:firstLineChars="0"/>
              <w:jc w:val="left"/>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各区环境卫生管理部门根据市环境卫生行政主管部门的统一安排，负责本辖区内建筑垃圾日常管理工作。</w:t>
            </w:r>
          </w:p>
          <w:p w14:paraId="0AD17A72">
            <w:pPr>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rPr>
              <w:t>城管执法、公安、环保、物价、规划、建设、国土、工商、房管、园林等部门应当按照各自职责，共同做好建筑垃圾的管理工作。</w:t>
            </w:r>
          </w:p>
          <w:p w14:paraId="22A4AC4F">
            <w:pPr>
              <w:numPr>
                <w:ilvl w:val="0"/>
                <w:numId w:val="1"/>
              </w:numPr>
              <w:snapToGrid w:val="0"/>
              <w:ind w:left="0" w:leftChars="0" w:right="0" w:rightChars="0" w:firstLine="0" w:firstLineChars="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处置建筑垃圾的单位应当持有关资料向市环境卫生行政主管部门提出申请，获得处置核准后，方可处置。</w:t>
            </w:r>
          </w:p>
          <w:p w14:paraId="4D653028">
            <w:pPr>
              <w:numPr>
                <w:ilvl w:val="0"/>
                <w:numId w:val="2"/>
              </w:numPr>
              <w:snapToGrid w:val="0"/>
              <w:ind w:left="0" w:leftChars="0" w:right="0" w:rightChars="0" w:firstLine="0" w:firstLineChars="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处置建筑垃圾的单位在运输建筑垃圾时应当遵守下列规定： （一）机动车辆（船舶）运输建筑垃圾，应随车（船）携带建筑垃圾处置核准文件，接受环境卫生管理部门的检查。（二）需要进入公安机关交通管理部门限制通行、禁止通行的区域内运输的，应当事先征得公安机关交通管理部门的批准。（三）建筑垃圾运输车辆应当保持车辆整洁，采取密闭措施，不得超载运输。 第十二条 建筑垃圾应当倾倒在指定的处置场所。处置场所应当对建筑垃圾的受纳情况如实进行登记，并出具回执。处置建筑垃圾的单位应当将处置场所出具的回执妥善保管，以备环境卫生管理部门查验。</w:t>
            </w:r>
          </w:p>
          <w:p w14:paraId="03D118BA">
            <w:pPr>
              <w:pStyle w:val="7"/>
              <w:numPr>
                <w:ilvl w:val="0"/>
                <w:numId w:val="3"/>
              </w:numPr>
              <w:snapToGrid w:val="0"/>
              <w:ind w:left="0" w:leftChars="0" w:right="0" w:rightChars="0" w:firstLine="0" w:firstLineChars="0"/>
              <w:jc w:val="left"/>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建筑垃圾储运消纳场应有完备的排水设施和道路，四周应设置不低于 2 米的实体围栏，配备必要的机械设备和照明、防污染等设施，保持场内整洁，防止对周围环境的污染</w:t>
            </w:r>
            <w:r>
              <w:rPr>
                <w:rFonts w:hint="eastAsia" w:ascii="仿宋_GB2312" w:hAnsi="仿宋_GB2312" w:eastAsia="仿宋_GB2312" w:cs="仿宋_GB2312"/>
                <w:color w:val="auto"/>
                <w:sz w:val="20"/>
                <w:szCs w:val="20"/>
                <w:lang w:eastAsia="zh-CN"/>
              </w:rPr>
              <w:t>。</w:t>
            </w:r>
          </w:p>
          <w:p w14:paraId="35306AE6">
            <w:pPr>
              <w:numPr>
                <w:ilvl w:val="0"/>
                <w:numId w:val="0"/>
              </w:numPr>
              <w:snapToGrid w:val="0"/>
              <w:ind w:left="0" w:leftChars="0" w:right="0" w:rightChars="0" w:firstLine="0" w:firstLineChars="0"/>
              <w:jc w:val="left"/>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第十六条 建筑垃圾储运消纳场不得受纳工业垃圾、生活垃圾或有毒有害、易燃易爆等废弃物</w:t>
            </w:r>
            <w:r>
              <w:rPr>
                <w:rFonts w:hint="eastAsia" w:ascii="仿宋_GB2312" w:hAnsi="仿宋_GB2312" w:eastAsia="仿宋_GB2312" w:cs="仿宋_GB2312"/>
                <w:color w:val="auto"/>
                <w:sz w:val="20"/>
                <w:szCs w:val="20"/>
                <w:lang w:eastAsia="zh-CN"/>
              </w:rPr>
              <w:t>。</w:t>
            </w:r>
          </w:p>
        </w:tc>
        <w:tc>
          <w:tcPr>
            <w:tcW w:w="1038" w:type="dxa"/>
            <w:vAlign w:val="center"/>
          </w:tcPr>
          <w:p w14:paraId="028D1D52">
            <w:pPr>
              <w:snapToGrid w:val="0"/>
              <w:ind w:left="0" w:leftChars="0" w:right="0" w:rightChars="0" w:firstLine="0" w:firstLineChars="0"/>
              <w:jc w:val="left"/>
              <w:rPr>
                <w:rFonts w:hint="eastAsia" w:ascii="仿宋_GB2312" w:hAnsi="仿宋_GB2312" w:eastAsia="仿宋_GB2312" w:cs="仿宋_GB2312"/>
                <w:b/>
                <w:color w:val="auto"/>
                <w:kern w:val="0"/>
                <w:sz w:val="20"/>
                <w:szCs w:val="20"/>
              </w:rPr>
            </w:pPr>
            <w:r>
              <w:rPr>
                <w:rFonts w:hint="eastAsia" w:ascii="仿宋_GB2312" w:hAnsi="仿宋_GB2312" w:eastAsia="仿宋_GB2312" w:cs="仿宋_GB2312"/>
                <w:color w:val="auto"/>
                <w:kern w:val="0"/>
                <w:sz w:val="20"/>
                <w:szCs w:val="20"/>
              </w:rPr>
              <w:t>现场检查、书面检查、网络检查</w:t>
            </w:r>
          </w:p>
        </w:tc>
        <w:tc>
          <w:tcPr>
            <w:tcW w:w="975" w:type="dxa"/>
            <w:vAlign w:val="center"/>
          </w:tcPr>
          <w:p w14:paraId="7E1239CB">
            <w:pPr>
              <w:snapToGrid w:val="0"/>
              <w:ind w:left="0" w:leftChars="0" w:right="0" w:rightChars="0" w:firstLine="0" w:firstLineChars="0"/>
              <w:jc w:val="center"/>
              <w:rPr>
                <w:rFonts w:hint="eastAsia" w:ascii="仿宋_GB2312" w:hAnsi="仿宋_GB2312" w:eastAsia="仿宋_GB2312" w:cs="仿宋_GB2312"/>
                <w:bCs/>
                <w:color w:val="auto"/>
                <w:kern w:val="0"/>
                <w:sz w:val="20"/>
                <w:szCs w:val="20"/>
              </w:rPr>
            </w:pPr>
            <w:r>
              <w:rPr>
                <w:rFonts w:hint="eastAsia" w:ascii="仿宋_GB2312" w:hAnsi="仿宋_GB2312" w:eastAsia="仿宋_GB2312" w:cs="仿宋_GB2312"/>
                <w:color w:val="auto"/>
                <w:kern w:val="0"/>
                <w:sz w:val="20"/>
                <w:szCs w:val="20"/>
                <w:lang w:val="en-US" w:eastAsia="zh-CN"/>
              </w:rPr>
              <w:t>原则上不超过一次</w:t>
            </w:r>
          </w:p>
        </w:tc>
        <w:tc>
          <w:tcPr>
            <w:tcW w:w="1575" w:type="dxa"/>
            <w:vAlign w:val="center"/>
          </w:tcPr>
          <w:p w14:paraId="4F384E5E">
            <w:pPr>
              <w:snapToGrid w:val="0"/>
              <w:ind w:left="0" w:leftChars="0" w:right="0" w:rightChars="0" w:firstLine="0" w:firstLineChars="0"/>
              <w:jc w:val="center"/>
              <w:rPr>
                <w:rFonts w:hint="eastAsia" w:ascii="仿宋_GB2312" w:hAnsi="仿宋_GB2312" w:eastAsia="仿宋_GB2312" w:cs="仿宋_GB2312"/>
                <w:bCs/>
                <w:color w:val="auto"/>
                <w:kern w:val="0"/>
                <w:sz w:val="20"/>
                <w:szCs w:val="20"/>
                <w:lang w:val="en-US" w:eastAsia="zh-CN"/>
              </w:rPr>
            </w:pPr>
            <w:r>
              <w:rPr>
                <w:rFonts w:hint="eastAsia" w:ascii="仿宋_GB2312" w:hAnsi="仿宋_GB2312" w:eastAsia="仿宋_GB2312" w:cs="仿宋_GB2312"/>
                <w:bCs/>
                <w:color w:val="auto"/>
                <w:kern w:val="0"/>
                <w:sz w:val="20"/>
                <w:szCs w:val="20"/>
                <w:lang w:val="en-US" w:eastAsia="zh-CN"/>
              </w:rPr>
              <w:t>/</w:t>
            </w:r>
          </w:p>
        </w:tc>
        <w:tc>
          <w:tcPr>
            <w:tcW w:w="1322" w:type="dxa"/>
            <w:vAlign w:val="center"/>
          </w:tcPr>
          <w:p w14:paraId="7C9821E2">
            <w:pPr>
              <w:keepNext w:val="0"/>
              <w:keepLines w:val="0"/>
              <w:widowControl/>
              <w:suppressLineNumbers w:val="0"/>
              <w:snapToGrid w:val="0"/>
              <w:ind w:left="0" w:leftChars="0" w:right="0" w:rightChars="0" w:firstLine="0" w:firstLineChars="0"/>
              <w:jc w:val="center"/>
              <w:textAlignment w:val="center"/>
              <w:rPr>
                <w:rFonts w:hint="default" w:ascii="仿宋_GB2312" w:hAnsi="仿宋_GB2312" w:eastAsia="仿宋_GB2312" w:cs="仿宋_GB2312"/>
                <w:i w:val="0"/>
                <w:iCs w:val="0"/>
                <w:color w:val="auto"/>
                <w:kern w:val="0"/>
                <w:sz w:val="20"/>
                <w:szCs w:val="20"/>
                <w:u w:val="none"/>
                <w:lang w:val="en-US" w:eastAsia="zh-CN" w:bidi="ar"/>
              </w:rPr>
            </w:pPr>
            <w:r>
              <w:rPr>
                <w:rFonts w:hint="eastAsia" w:ascii="仿宋_GB2312" w:hAnsi="仿宋_GB2312" w:eastAsia="仿宋_GB2312" w:cs="仿宋_GB2312"/>
                <w:i w:val="0"/>
                <w:iCs w:val="0"/>
                <w:color w:val="auto"/>
                <w:kern w:val="0"/>
                <w:sz w:val="20"/>
                <w:szCs w:val="20"/>
                <w:u w:val="none"/>
                <w:lang w:val="en-US" w:eastAsia="zh-CN" w:bidi="ar"/>
              </w:rPr>
              <w:t>/</w:t>
            </w:r>
          </w:p>
        </w:tc>
        <w:tc>
          <w:tcPr>
            <w:tcW w:w="474" w:type="dxa"/>
            <w:vAlign w:val="center"/>
          </w:tcPr>
          <w:p w14:paraId="1B848212">
            <w:pPr>
              <w:snapToGrid w:val="0"/>
              <w:ind w:left="0" w:leftChars="0" w:right="0" w:rightChars="0" w:firstLine="0" w:firstLineChars="0"/>
              <w:jc w:val="center"/>
              <w:rPr>
                <w:rFonts w:hint="eastAsia" w:ascii="仿宋_GB2312" w:hAnsi="仿宋_GB2312" w:eastAsia="仿宋_GB2312" w:cs="仿宋_GB2312"/>
                <w:b/>
                <w:color w:val="auto"/>
                <w:kern w:val="0"/>
                <w:sz w:val="21"/>
                <w:szCs w:val="21"/>
              </w:rPr>
            </w:pPr>
          </w:p>
        </w:tc>
      </w:tr>
    </w:tbl>
    <w:p w14:paraId="676D13F1">
      <w:pPr>
        <w:numPr>
          <w:ilvl w:val="0"/>
          <w:numId w:val="0"/>
        </w:numPr>
        <w:snapToGrid w:val="0"/>
        <w:ind w:leftChars="0" w:right="0" w:rightChars="0"/>
        <w:jc w:val="left"/>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注：1.</w:t>
      </w:r>
      <w:r>
        <w:rPr>
          <w:rFonts w:hint="eastAsia" w:ascii="仿宋_GB2312" w:hAnsi="仿宋_GB2312" w:eastAsia="仿宋_GB2312" w:cs="仿宋_GB2312"/>
          <w:color w:val="auto"/>
          <w:sz w:val="21"/>
          <w:szCs w:val="21"/>
        </w:rPr>
        <w:t>立案后的调查取证活动</w:t>
      </w:r>
      <w:r>
        <w:rPr>
          <w:rFonts w:hint="eastAsia" w:ascii="仿宋_GB2312" w:hAnsi="仿宋_GB2312" w:eastAsia="仿宋_GB2312" w:cs="仿宋_GB2312"/>
          <w:color w:val="auto"/>
          <w:sz w:val="21"/>
          <w:szCs w:val="21"/>
          <w:lang w:val="en-US" w:eastAsia="zh-CN"/>
        </w:rPr>
        <w:t>不适用本表关于检查频次的规定。</w:t>
      </w:r>
    </w:p>
    <w:p w14:paraId="50BFE4DE">
      <w:pPr>
        <w:pStyle w:val="7"/>
        <w:ind w:firstLine="420" w:firstLineChars="200"/>
        <w:rPr>
          <w:rFonts w:hint="eastAsia" w:ascii="仿宋_GB2312" w:hAnsi="仿宋_GB2312" w:eastAsia="仿宋_GB2312" w:cs="仿宋_GB2312"/>
          <w:color w:val="auto"/>
          <w:sz w:val="21"/>
          <w:szCs w:val="21"/>
          <w:lang w:val="en-US" w:eastAsia="zh-CN"/>
        </w:rPr>
        <w:sectPr>
          <w:headerReference r:id="rId5" w:type="default"/>
          <w:footerReference r:id="rId6" w:type="default"/>
          <w:footerReference r:id="rId7" w:type="even"/>
          <w:pgSz w:w="16838" w:h="11906" w:orient="landscape"/>
          <w:pgMar w:top="720" w:right="720" w:bottom="720" w:left="720" w:header="0" w:footer="992" w:gutter="0"/>
          <w:pgNumType w:fmt="decimal"/>
          <w:cols w:space="0" w:num="1"/>
          <w:docGrid w:type="lines" w:linePitch="442" w:charSpace="0"/>
        </w:sectPr>
      </w:pPr>
      <w:r>
        <w:rPr>
          <w:rFonts w:hint="eastAsia" w:ascii="仿宋_GB2312" w:hAnsi="仿宋_GB2312" w:eastAsia="仿宋_GB2312" w:cs="仿宋_GB2312"/>
          <w:color w:val="auto"/>
          <w:sz w:val="21"/>
          <w:szCs w:val="21"/>
          <w:lang w:val="en-US" w:eastAsia="zh-CN"/>
        </w:rPr>
        <w:t>2.检查频次以一年为单位计算。</w:t>
      </w:r>
    </w:p>
    <w:p w14:paraId="4D82E376">
      <w:pPr>
        <w:rPr>
          <w:rFonts w:hint="default"/>
          <w:lang w:val="en-US" w:eastAsia="zh-CN"/>
        </w:rPr>
      </w:pPr>
    </w:p>
    <w:tbl>
      <w:tblPr>
        <w:tblStyle w:val="5"/>
        <w:tblpPr w:leftFromText="180" w:rightFromText="180" w:vertAnchor="text" w:horzAnchor="page" w:tblpX="1712" w:tblpY="11087"/>
        <w:tblOverlap w:val="never"/>
        <w:tblW w:w="8844" w:type="dxa"/>
        <w:tblInd w:w="0" w:type="dxa"/>
        <w:tblBorders>
          <w:top w:val="single" w:color="auto" w:sz="12" w:space="0"/>
          <w:left w:val="none" w:color="auto" w:sz="0" w:space="0"/>
          <w:bottom w:val="single" w:color="auto" w:sz="12" w:space="0"/>
          <w:right w:val="none" w:color="auto" w:sz="0" w:space="0"/>
          <w:insideH w:val="single" w:color="auto" w:sz="6" w:space="0"/>
          <w:insideV w:val="none" w:color="auto" w:sz="0" w:space="0"/>
        </w:tblBorders>
        <w:tblLayout w:type="fixed"/>
        <w:tblCellMar>
          <w:top w:w="0" w:type="dxa"/>
          <w:left w:w="108" w:type="dxa"/>
          <w:bottom w:w="0" w:type="dxa"/>
          <w:right w:w="108" w:type="dxa"/>
        </w:tblCellMar>
      </w:tblPr>
      <w:tblGrid>
        <w:gridCol w:w="8844"/>
      </w:tblGrid>
      <w:tr w14:paraId="4B71BF9A">
        <w:tblPrEx>
          <w:tblBorders>
            <w:top w:val="single" w:color="auto" w:sz="12" w:space="0"/>
            <w:left w:val="none" w:color="auto" w:sz="0" w:space="0"/>
            <w:bottom w:val="single" w:color="auto" w:sz="12"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586" w:hRule="exact"/>
        </w:trPr>
        <w:tc>
          <w:tcPr>
            <w:tcW w:w="8844" w:type="dxa"/>
            <w:tcBorders>
              <w:tl2br w:val="nil"/>
              <w:tr2bl w:val="nil"/>
            </w:tcBorders>
            <w:noWrap w:val="0"/>
            <w:vAlign w:val="center"/>
          </w:tcPr>
          <w:p w14:paraId="72495D3F">
            <w:pPr>
              <w:keepNext w:val="0"/>
              <w:keepLines w:val="0"/>
              <w:pageBreakBefore w:val="0"/>
              <w:widowControl w:val="0"/>
              <w:kinsoku/>
              <w:wordWrap/>
              <w:overflowPunct/>
              <w:topLinePunct w:val="0"/>
              <w:bidi w:val="0"/>
              <w:ind w:firstLine="280" w:firstLineChars="100"/>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抄送：市司法局。</w:t>
            </w:r>
          </w:p>
        </w:tc>
      </w:tr>
      <w:tr w14:paraId="414674FD">
        <w:tblPrEx>
          <w:tblBorders>
            <w:top w:val="single" w:color="auto" w:sz="12" w:space="0"/>
            <w:left w:val="none" w:color="auto" w:sz="0" w:space="0"/>
            <w:bottom w:val="single" w:color="auto" w:sz="12" w:space="0"/>
            <w:right w:val="none" w:color="auto" w:sz="0" w:space="0"/>
            <w:insideH w:val="single" w:color="auto" w:sz="6" w:space="0"/>
            <w:insideV w:val="none" w:color="auto" w:sz="0" w:space="0"/>
          </w:tblBorders>
          <w:tblCellMar>
            <w:top w:w="0" w:type="dxa"/>
            <w:left w:w="108" w:type="dxa"/>
            <w:bottom w:w="0" w:type="dxa"/>
            <w:right w:w="108" w:type="dxa"/>
          </w:tblCellMar>
        </w:tblPrEx>
        <w:trPr>
          <w:trHeight w:val="586" w:hRule="exact"/>
        </w:trPr>
        <w:tc>
          <w:tcPr>
            <w:tcW w:w="8844" w:type="dxa"/>
            <w:tcBorders>
              <w:tl2br w:val="nil"/>
              <w:tr2bl w:val="nil"/>
            </w:tcBorders>
            <w:noWrap w:val="0"/>
            <w:vAlign w:val="center"/>
          </w:tcPr>
          <w:p w14:paraId="16B40D0A">
            <w:pPr>
              <w:keepNext w:val="0"/>
              <w:keepLines w:val="0"/>
              <w:pageBreakBefore w:val="0"/>
              <w:widowControl w:val="0"/>
              <w:kinsoku/>
              <w:wordWrap/>
              <w:overflowPunct/>
              <w:topLinePunct w:val="0"/>
              <w:bidi w:val="0"/>
              <w:ind w:firstLine="280" w:firstLineChars="100"/>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苏州市城市管理局办公室                 2026年3月26日印发</w:t>
            </w:r>
          </w:p>
        </w:tc>
      </w:tr>
    </w:tbl>
    <w:p w14:paraId="7730DE47">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u w:val="none"/>
          <w:lang w:val="en-US" w:eastAsia="zh-CN"/>
        </w:rPr>
      </w:pPr>
    </w:p>
    <w:sectPr>
      <w:pgSz w:w="11906" w:h="16838"/>
      <w:pgMar w:top="2098" w:right="1474" w:bottom="1984" w:left="1587" w:header="850" w:footer="1417" w:gutter="0"/>
      <w:pgNumType w:fmt="decimal"/>
      <w:cols w:space="0" w:num="1"/>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870E1CA-3D37-464E-94B7-B644CDD174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058F759-A933-4B46-BD28-590469647FB8}"/>
  </w:font>
  <w:font w:name="华文中宋">
    <w:panose1 w:val="02010600040101010101"/>
    <w:charset w:val="86"/>
    <w:family w:val="auto"/>
    <w:pitch w:val="default"/>
    <w:sig w:usb0="00000287" w:usb1="080F0000" w:usb2="00000000" w:usb3="00000000" w:csb0="0004009F" w:csb1="DFD70000"/>
    <w:embedRegular r:id="rId3" w:fontKey="{0BFBDE2E-B31F-48D4-BA0A-F4658BE8C24D}"/>
  </w:font>
  <w:font w:name="仿宋_GB2312">
    <w:panose1 w:val="02010609030101010101"/>
    <w:charset w:val="86"/>
    <w:family w:val="auto"/>
    <w:pitch w:val="default"/>
    <w:sig w:usb0="00000001" w:usb1="080E0000" w:usb2="00000000" w:usb3="00000000" w:csb0="00040000" w:csb1="00000000"/>
    <w:embedRegular r:id="rId4" w:fontKey="{D0751E5C-959D-477D-9A00-E9BF86F5EAE6}"/>
  </w:font>
  <w:font w:name="方正小标宋简体">
    <w:panose1 w:val="02000000000000000000"/>
    <w:charset w:val="86"/>
    <w:family w:val="auto"/>
    <w:pitch w:val="default"/>
    <w:sig w:usb0="00000001" w:usb1="08000000" w:usb2="00000000" w:usb3="00000000" w:csb0="00040000" w:csb1="00000000"/>
    <w:embedRegular r:id="rId5" w:fontKey="{3A85EBBD-B8B0-4CCE-B93D-AC74A2B998D0}"/>
  </w:font>
  <w:font w:name="方正小标宋_GBK">
    <w:panose1 w:val="03000509000000000000"/>
    <w:charset w:val="86"/>
    <w:family w:val="auto"/>
    <w:pitch w:val="default"/>
    <w:sig w:usb0="00000001" w:usb1="080E0000" w:usb2="00000000" w:usb3="00000000" w:csb0="00040000" w:csb1="00000000"/>
    <w:embedRegular r:id="rId6" w:fontKey="{08483559-881A-4F22-BFAA-C2DD7B19C3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2D894">
    <w:pPr>
      <w:pStyle w:val="2"/>
    </w:pPr>
    <w:r>
      <w:rPr>
        <w:sz w:val="18"/>
      </w:rPr>
      <mc:AlternateContent>
        <mc:Choice Requires="wps">
          <w:drawing>
            <wp:anchor distT="0" distB="0" distL="114300" distR="114300" simplePos="0" relativeHeight="251661312" behindDoc="0" locked="0" layoutInCell="1" allowOverlap="1">
              <wp:simplePos x="0" y="0"/>
              <wp:positionH relativeFrom="margin">
                <wp:posOffset>4845050</wp:posOffset>
              </wp:positionH>
              <wp:positionV relativeFrom="paragraph">
                <wp:posOffset>-19050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6A4EF">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1.5pt;margin-top:-1.5pt;height:144pt;width:144pt;mso-position-horizontal-relative:margin;mso-wrap-style:none;z-index:251661312;mso-width-relative:page;mso-height-relative:page;" filled="f" stroked="f" coordsize="21600,21600" o:gfxdata="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mb9P2wtUDcKmRI5LoHhut&#10;0Oybntne5GcQc6brDG/5pkLyLfPhgTm0Ah6MYQn3WAppkMT0FiWlcV//dR7jUSF4KanRWhnVmCRK&#10;5AeNygEwDIYbjP1g6KO6M+jVMYbQ8tbEBRfkYBbOqC+YoFXMARfTHJkyGgbzLnTtjQnkYrVqg47W&#10;VYeyu4C+syxs9c7ymCYK6e3qGCBmq3EUqFOl1w2d11apn5LY2n/u26inP8PyE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CgL13YAAAACwEAAA8AAAAAAAAAAQAgAAAAIgAAAGRycy9kb3ducmV2Lnht&#10;bFBLAQIUABQAAAAIAIdO4kDhgNOOMgIAAGEEAAAOAAAAAAAAAAEAIAAAACcBAABkcnMvZTJvRG9j&#10;LnhtbFBLBQYAAAAABgAGAFkBAADLBQAAAAA=&#10;">
              <v:fill on="f" focussize="0,0"/>
              <v:stroke on="f" weight="0.5pt"/>
              <v:imagedata o:title=""/>
              <o:lock v:ext="edit" aspectratio="f"/>
              <v:textbox inset="0mm,0mm,0mm,0mm" style="mso-fit-shape-to-text:t;">
                <w:txbxContent>
                  <w:p w14:paraId="1256A4EF">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AE917">
    <w:pPr>
      <w:pStyle w:val="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8B857">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B8B857">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04ACB">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8809355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FD56D">
                          <w:pPr>
                            <w:pStyle w:val="2"/>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93.65pt;margin-top:0pt;height:144pt;width:144pt;mso-position-horizontal-relative:margin;mso-wrap-style:none;z-index:251659264;mso-width-relative:page;mso-height-relative:page;" filled="f" stroked="f" coordsize="21600,21600" o:gfxdata="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3S0&#10;rj5U/QVMoWVhq3eWxzRRKm9XxwBpO8WjQL0q6FTcYA67ng1vJg76n/su6vE/sf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ci8tUAAAAKAQAADwAAAAAAAAABACAAAAAiAAAAZHJzL2Rvd25yZXYu&#10;eG1sUEsBAhQAFAAAAAgAh07iQL10G3Y3AgAAbwQAAA4AAAAAAAAAAQAgAAAAJAEAAGRycy9lMm9E&#10;b2MueG1sUEsFBgAAAAAGAAYAWQEAAM0FAAAAAA==&#10;">
              <v:fill on="f" focussize="0,0"/>
              <v:stroke on="f" weight="0.5pt"/>
              <v:imagedata o:title=""/>
              <o:lock v:ext="edit" aspectratio="f"/>
              <v:textbox inset="0mm,0mm,0mm,0mm" style="mso-fit-shape-to-text:t;">
                <w:txbxContent>
                  <w:p w14:paraId="33EFD56D">
                    <w:pPr>
                      <w:pStyle w:val="2"/>
                      <w:ind w:firstLine="280" w:firstLineChars="1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C42BF">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DEA331">
                          <w:pPr>
                            <w:pStyle w:val="2"/>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59DEA331">
                    <w:pPr>
                      <w:pStyle w:val="2"/>
                      <w:ind w:firstLine="280" w:firstLineChars="1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5D7DC">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6D586"/>
    <w:multiLevelType w:val="singleLevel"/>
    <w:tmpl w:val="A946D586"/>
    <w:lvl w:ilvl="0" w:tentative="0">
      <w:start w:val="11"/>
      <w:numFmt w:val="chineseCounting"/>
      <w:suff w:val="space"/>
      <w:lvlText w:val="第%1条"/>
      <w:lvlJc w:val="left"/>
      <w:rPr>
        <w:rFonts w:hint="eastAsia"/>
      </w:rPr>
    </w:lvl>
  </w:abstractNum>
  <w:abstractNum w:abstractNumId="1">
    <w:nsid w:val="3CBCE474"/>
    <w:multiLevelType w:val="singleLevel"/>
    <w:tmpl w:val="3CBCE474"/>
    <w:lvl w:ilvl="0" w:tentative="0">
      <w:start w:val="6"/>
      <w:numFmt w:val="chineseCounting"/>
      <w:suff w:val="space"/>
      <w:lvlText w:val="第%1条"/>
      <w:lvlJc w:val="left"/>
      <w:rPr>
        <w:rFonts w:hint="eastAsia"/>
      </w:rPr>
    </w:lvl>
  </w:abstractNum>
  <w:abstractNum w:abstractNumId="2">
    <w:nsid w:val="56920510"/>
    <w:multiLevelType w:val="singleLevel"/>
    <w:tmpl w:val="56920510"/>
    <w:lvl w:ilvl="0" w:tentative="0">
      <w:start w:val="15"/>
      <w:numFmt w:val="chineseCounting"/>
      <w:suff w:val="space"/>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081382"/>
    <w:rsid w:val="08081382"/>
    <w:rsid w:val="145B5F39"/>
    <w:rsid w:val="2D0A2AFF"/>
    <w:rsid w:val="3A1B70DC"/>
    <w:rsid w:val="4B8977EE"/>
    <w:rsid w:val="76C07C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Calibri" w:hAnsi="Calibri" w:eastAsia="宋体" w:cs="Calibri"/>
      <w:kern w:val="2"/>
      <w:sz w:val="18"/>
      <w:szCs w:val="24"/>
      <w:lang w:val="en-US" w:eastAsia="zh-CN"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OC1"/>
    <w:next w:val="1"/>
    <w:qFormat/>
    <w:uiPriority w:val="0"/>
    <w:pPr>
      <w:widowControl w:val="0"/>
      <w:jc w:val="both"/>
    </w:pPr>
    <w:rPr>
      <w:rFonts w:ascii="Calibri" w:hAnsi="Calibri" w:eastAsia="宋体" w:cs="Calibr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4192</Words>
  <Characters>4575</Characters>
  <Lines>0</Lines>
  <Paragraphs>0</Paragraphs>
  <TotalTime>1</TotalTime>
  <ScaleCrop>false</ScaleCrop>
  <LinksUpToDate>false</LinksUpToDate>
  <CharactersWithSpaces>4632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2026-03-26T01:31:00Z</dcterms:created>
  <dc:creator>DELL</dc:creator>
  <cp:lastModifiedBy>ppw</cp:lastModifiedBy>
  <cp:lastPrinted>2026-03-26T01:38:00Z</cp:lastPrinted>
  <dcterms:modified xsi:type="dcterms:W3CDTF">2026-03-26T07:27:32Z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7FEE6B5909A94086B808B2E4AC706743_11</vt:lpwstr>
  </property>
  <property fmtid="{D5CDD505-2E9C-101B-9397-08002B2CF9AE}" pid="4" name="KSOTemplateDocerSaveRecord">
    <vt:lpwstr>eyJoZGlkIjoiZTM0MmIwNGU3MGM2NmVhM2ZlZmVjNjZjMzcyY2UxNDUiLCJ1c2VySWQiOiIyNTcyMDc1NDEifQ==</vt:lpwstr>
  </property>
</Properties>
</file>