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5238" w:rsidRDefault="00094AD0">
      <w:pPr>
        <w:overflowPunct w:val="0"/>
        <w:adjustRightInd w:val="0"/>
        <w:snapToGrid w:val="0"/>
        <w:jc w:val="center"/>
        <w:rPr>
          <w:rFonts w:ascii="方正小标宋_GBK" w:eastAsia="方正小标宋_GBK" w:hAnsi="Times New Roman" w:cs="方正小标宋简体"/>
          <w:spacing w:val="-4"/>
          <w:sz w:val="44"/>
          <w:szCs w:val="44"/>
        </w:rPr>
      </w:pPr>
      <w:r>
        <w:rPr>
          <w:rFonts w:ascii="方正小标宋_GBK" w:eastAsia="方正小标宋_GBK" w:hAnsi="Times New Roman" w:cs="方正小标宋简体" w:hint="eastAsia"/>
          <w:spacing w:val="-4"/>
          <w:sz w:val="44"/>
          <w:szCs w:val="44"/>
        </w:rPr>
        <w:t>涉企轻微违法行为不予行政处罚清单（</w:t>
      </w:r>
      <w:r>
        <w:rPr>
          <w:rFonts w:ascii="方正小标宋_GBK" w:eastAsia="方正小标宋_GBK" w:hAnsi="Times New Roman" w:cs="Times New Roman" w:hint="eastAsia"/>
          <w:spacing w:val="-4"/>
          <w:sz w:val="44"/>
          <w:szCs w:val="44"/>
        </w:rPr>
        <w:t>4.0</w:t>
      </w:r>
      <w:r>
        <w:rPr>
          <w:rFonts w:ascii="方正小标宋_GBK" w:eastAsia="方正小标宋_GBK" w:hAnsi="Times New Roman" w:cs="方正小标宋简体" w:hint="eastAsia"/>
          <w:spacing w:val="-4"/>
          <w:sz w:val="44"/>
          <w:szCs w:val="44"/>
        </w:rPr>
        <w:t>版）</w:t>
      </w:r>
    </w:p>
    <w:p w:rsidR="008C5238" w:rsidRPr="00952047" w:rsidRDefault="00094AD0">
      <w:pPr>
        <w:overflowPunct w:val="0"/>
        <w:adjustRightInd w:val="0"/>
        <w:snapToGrid w:val="0"/>
        <w:jc w:val="center"/>
        <w:rPr>
          <w:rFonts w:ascii="楷体" w:eastAsia="楷体" w:hAnsi="楷体" w:cs="方正小标宋简体"/>
          <w:spacing w:val="-4"/>
          <w:sz w:val="28"/>
          <w:szCs w:val="28"/>
        </w:rPr>
      </w:pPr>
      <w:r w:rsidRPr="00952047">
        <w:rPr>
          <w:rFonts w:ascii="楷体" w:eastAsia="楷体" w:hAnsi="楷体" w:cs="方正小标宋简体" w:hint="eastAsia"/>
          <w:spacing w:val="-4"/>
          <w:sz w:val="28"/>
          <w:szCs w:val="28"/>
        </w:rPr>
        <w:t>（</w:t>
      </w:r>
      <w:r w:rsidRPr="00952047">
        <w:rPr>
          <w:rFonts w:ascii="楷体_GB2312" w:eastAsia="楷体_GB2312" w:hint="eastAsia"/>
          <w:sz w:val="32"/>
          <w:szCs w:val="32"/>
        </w:rPr>
        <w:t>征求意见稿</w:t>
      </w:r>
      <w:r w:rsidRPr="00952047">
        <w:rPr>
          <w:rFonts w:ascii="楷体" w:eastAsia="楷体" w:hAnsi="楷体" w:cs="方正小标宋简体" w:hint="eastAsia"/>
          <w:spacing w:val="-4"/>
          <w:sz w:val="28"/>
          <w:szCs w:val="28"/>
        </w:rPr>
        <w:t>）</w:t>
      </w: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025"/>
        <w:gridCol w:w="2205"/>
        <w:gridCol w:w="7625"/>
        <w:gridCol w:w="1564"/>
      </w:tblGrid>
      <w:tr w:rsidR="008C5238">
        <w:trPr>
          <w:trHeight w:val="422"/>
          <w:tblHeader/>
          <w:jc w:val="center"/>
        </w:trPr>
        <w:tc>
          <w:tcPr>
            <w:tcW w:w="59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w:t>
            </w:r>
            <w:r>
              <w:rPr>
                <w:rFonts w:ascii="Times New Roman" w:eastAsia="黑体" w:hAnsi="Times New Roman" w:cs="黑体" w:hint="eastAsia"/>
                <w:spacing w:val="-4"/>
              </w:rPr>
              <w:t>序号</w:t>
            </w:r>
          </w:p>
        </w:tc>
        <w:tc>
          <w:tcPr>
            <w:tcW w:w="202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违法行为</w:t>
            </w:r>
          </w:p>
        </w:tc>
        <w:tc>
          <w:tcPr>
            <w:tcW w:w="220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不予处罚条件</w:t>
            </w:r>
          </w:p>
        </w:tc>
        <w:tc>
          <w:tcPr>
            <w:tcW w:w="762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法</w:t>
            </w:r>
            <w:r>
              <w:rPr>
                <w:rFonts w:ascii="Times New Roman" w:eastAsia="黑体" w:hAnsi="Times New Roman" w:cs="Times New Roman"/>
                <w:spacing w:val="-4"/>
              </w:rPr>
              <w:t xml:space="preserve"> </w:t>
            </w:r>
            <w:r>
              <w:rPr>
                <w:rFonts w:ascii="Times New Roman" w:eastAsia="黑体" w:hAnsi="Times New Roman" w:cs="黑体" w:hint="eastAsia"/>
                <w:spacing w:val="-4"/>
              </w:rPr>
              <w:t>律</w:t>
            </w:r>
            <w:r>
              <w:rPr>
                <w:rFonts w:ascii="Times New Roman" w:eastAsia="黑体" w:hAnsi="Times New Roman" w:cs="Times New Roman"/>
                <w:spacing w:val="-4"/>
              </w:rPr>
              <w:t xml:space="preserve"> </w:t>
            </w:r>
            <w:r>
              <w:rPr>
                <w:rFonts w:ascii="Times New Roman" w:eastAsia="黑体" w:hAnsi="Times New Roman" w:cs="黑体" w:hint="eastAsia"/>
                <w:spacing w:val="-4"/>
              </w:rPr>
              <w:t>依</w:t>
            </w:r>
            <w:r>
              <w:rPr>
                <w:rFonts w:ascii="Times New Roman" w:eastAsia="黑体" w:hAnsi="Times New Roman" w:cs="Times New Roman"/>
                <w:spacing w:val="-4"/>
              </w:rPr>
              <w:t xml:space="preserve"> </w:t>
            </w:r>
            <w:r>
              <w:rPr>
                <w:rFonts w:ascii="Times New Roman" w:eastAsia="黑体" w:hAnsi="Times New Roman" w:cs="黑体" w:hint="eastAsia"/>
                <w:spacing w:val="-4"/>
              </w:rPr>
              <w:t>据</w:t>
            </w:r>
          </w:p>
        </w:tc>
        <w:tc>
          <w:tcPr>
            <w:tcW w:w="1564"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实施主体</w:t>
            </w:r>
          </w:p>
        </w:tc>
      </w:tr>
      <w:tr w:rsidR="008C5238">
        <w:trPr>
          <w:trHeight w:val="6619"/>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t>1</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对市容环卫责任人不履行市容环卫责任的处罚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初次违反，违法行为轻微，未造成危害后果，经责令改正后及时整改，采取有效补救措施。</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【地方性法规】《江苏省城市市容和环境卫生管理条例》</w:t>
            </w:r>
            <w:r>
              <w:rPr>
                <w:rFonts w:asciiTheme="minorEastAsia" w:eastAsiaTheme="minorEastAsia" w:hAnsiTheme="minorEastAsia" w:cs="宋体"/>
                <w:spacing w:val="-4"/>
                <w:kern w:val="0"/>
              </w:rPr>
              <w:t xml:space="preserve"> </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第七条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本省市容环卫管理工作实行责任区制度。市容环卫责任人应当在确定的责任区内履行市容环卫责任。市容环卫责任区是指有关单位和个人所有、管理或者使用的建（构）筑物或者其他设施、场所的土地使用权范围以及管理范围。具体范围由县（市、区）城市管理主管部门或者乡镇人民政</w:t>
            </w:r>
            <w:bookmarkStart w:id="0" w:name="_GoBack"/>
            <w:bookmarkEnd w:id="0"/>
            <w:r>
              <w:rPr>
                <w:rFonts w:asciiTheme="minorEastAsia" w:eastAsiaTheme="minorEastAsia" w:hAnsiTheme="minorEastAsia" w:cs="宋体"/>
                <w:spacing w:val="-4"/>
                <w:kern w:val="0"/>
              </w:rPr>
              <w:t>府划定并公布。</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第九条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市容环卫责任人应当保持责任区内地面干净、立面整洁、设施完好，具体要求由设区的市人民政府制定并向社会公布。市容环卫责任人对责任区内损害市容环卫的行为，应当予以劝阻、制止；劝阻、制止无效的，向所在地城市管理等有关部门或者乡镇人民政府报告。</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第六十二条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第九条规定，市容环卫责任人不履行市容环卫责任，未保持责任区内地面干净、立面整洁、设施完好的，由设区的市、县（市、区）城市管理主管部门责令限期改正；逾期不改正的，给予警告，可以并处二百元以上二千元以下罚款。</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【地方性法规】《苏州市城市市容和环境卫生管理条例》</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第十一条</w:t>
            </w:r>
            <w:r>
              <w:rPr>
                <w:rFonts w:asciiTheme="minorEastAsia" w:eastAsiaTheme="minorEastAsia" w:hAnsiTheme="minorEastAsia" w:cs="宋体"/>
                <w:spacing w:val="-4"/>
                <w:kern w:val="0"/>
              </w:rPr>
              <w:t> </w:t>
            </w:r>
            <w:r>
              <w:rPr>
                <w:rFonts w:asciiTheme="minorEastAsia" w:eastAsiaTheme="minorEastAsia" w:hAnsiTheme="minorEastAsia" w:cs="宋体"/>
                <w:spacing w:val="-4"/>
                <w:kern w:val="0"/>
              </w:rPr>
              <w:t>本市市容环卫管理工作实行责任区制度。市容环卫责任人应当在确定的责任区内履行市容环卫责任。市容环卫责任区是指有关单位和个人所有、管理或者使用的建（构）筑物或者其他设施、场所的土地使用权范围以及管理范围。具体范围由县级市（区）</w:t>
            </w:r>
            <w:r>
              <w:rPr>
                <w:rFonts w:asciiTheme="minorEastAsia" w:eastAsiaTheme="minorEastAsia" w:hAnsiTheme="minorEastAsia" w:cs="宋体"/>
                <w:spacing w:val="-4"/>
                <w:kern w:val="0"/>
              </w:rPr>
              <w:t>城市管理行政主管部门或者镇人民政府、街道办事处划定并公布。</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4426"/>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lastRenderedPageBreak/>
              <w:t>2</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对超出门、窗进行店外占道经营、作业的处罚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【地方性法规】《江苏省城市市容和环境卫生管理条例》</w:t>
            </w:r>
            <w:r>
              <w:rPr>
                <w:rFonts w:asciiTheme="minorEastAsia" w:eastAsiaTheme="minorEastAsia" w:hAnsiTheme="minorEastAsia" w:cs="宋体"/>
                <w:spacing w:val="-4"/>
                <w:kern w:val="0"/>
              </w:rPr>
              <w:t xml:space="preserve"> </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第二十条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沿街和公共广场周围建（构）筑物内的经营者应当按照市容环卫责任要求履行相应责任，不得违反市容环卫、道路通行等规定，擅自超出门窗、外墙进行店外占道经营、作业或者展示商品。设区的市、县（市、区）、乡镇人民政府可以根据需要，确定并公布允许超出门窗、外墙进行店外经营、作业或者展示商品的区域范围、时段、业态，明确经营者的市容环卫责任等管理要求。</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第六十三条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违反本条例规定，有下列行为之一，影响市容的，由设区的市、县（市、区）城市管理主管部门按照以下规定处理：</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（七）擅自超出门窗、外墙进行店外占道经营、作业或者展示商品的</w:t>
            </w:r>
            <w:r>
              <w:rPr>
                <w:rFonts w:asciiTheme="minorEastAsia" w:eastAsiaTheme="minorEastAsia" w:hAnsiTheme="minorEastAsia" w:cs="宋体"/>
                <w:spacing w:val="-4"/>
                <w:kern w:val="0"/>
              </w:rPr>
              <w:t>，责令限期改正；逾期不改正的，处一百元以上一千元以下罚款。</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3378"/>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t>3</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对擅自在城市照明设施上张贴、悬挂、设置宣传品、广告的处罚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【规章】《城市照明管理规定》（住房和城乡建设部令第</w:t>
            </w:r>
            <w:r>
              <w:rPr>
                <w:rFonts w:asciiTheme="minorEastAsia" w:eastAsiaTheme="minorEastAsia" w:hAnsiTheme="minorEastAsia" w:cs="宋体"/>
                <w:spacing w:val="-4"/>
                <w:kern w:val="0"/>
              </w:rPr>
              <w:t>4</w:t>
            </w:r>
            <w:r>
              <w:rPr>
                <w:rFonts w:asciiTheme="minorEastAsia" w:eastAsiaTheme="minorEastAsia" w:hAnsiTheme="minorEastAsia" w:cs="宋体" w:hint="eastAsia"/>
                <w:spacing w:val="-4"/>
                <w:kern w:val="0"/>
              </w:rPr>
              <w:t>号）</w:t>
            </w:r>
            <w:r>
              <w:rPr>
                <w:rFonts w:asciiTheme="minorEastAsia" w:eastAsiaTheme="minorEastAsia" w:hAnsiTheme="minorEastAsia" w:cs="宋体"/>
                <w:spacing w:val="-4"/>
                <w:kern w:val="0"/>
              </w:rPr>
              <w:t xml:space="preserve">                                                                            </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第二十八条</w:t>
            </w: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任何单位和个人都应当保</w:t>
            </w:r>
            <w:r>
              <w:rPr>
                <w:rFonts w:asciiTheme="minorEastAsia" w:eastAsiaTheme="minorEastAsia" w:hAnsiTheme="minorEastAsia" w:cs="宋体" w:hint="eastAsia"/>
                <w:spacing w:val="-4"/>
                <w:kern w:val="0"/>
              </w:rPr>
              <w:t>护城市照明设施，不得实施下列行为：</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（三）擅自在城市照明设施上张贴、悬挂、设置宣传品、广告；</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第三十二条</w:t>
            </w: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违反本规定，有第二十八条规定行为之一的，由城市照明主管部门责令限期改正，对个人处以</w:t>
            </w:r>
            <w:r>
              <w:rPr>
                <w:rFonts w:asciiTheme="minorEastAsia" w:eastAsiaTheme="minorEastAsia" w:hAnsiTheme="minorEastAsia" w:cs="宋体"/>
                <w:spacing w:val="-4"/>
                <w:kern w:val="0"/>
              </w:rPr>
              <w:t>200</w:t>
            </w:r>
            <w:r>
              <w:rPr>
                <w:rFonts w:asciiTheme="minorEastAsia" w:eastAsiaTheme="minorEastAsia" w:hAnsiTheme="minorEastAsia" w:cs="宋体" w:hint="eastAsia"/>
                <w:spacing w:val="-4"/>
                <w:kern w:val="0"/>
              </w:rPr>
              <w:t>元以上</w:t>
            </w:r>
            <w:r>
              <w:rPr>
                <w:rFonts w:asciiTheme="minorEastAsia" w:eastAsiaTheme="minorEastAsia" w:hAnsiTheme="minorEastAsia" w:cs="宋体"/>
                <w:spacing w:val="-4"/>
                <w:kern w:val="0"/>
              </w:rPr>
              <w:t>1000</w:t>
            </w:r>
            <w:r>
              <w:rPr>
                <w:rFonts w:asciiTheme="minorEastAsia" w:eastAsiaTheme="minorEastAsia" w:hAnsiTheme="minorEastAsia" w:cs="宋体" w:hint="eastAsia"/>
                <w:spacing w:val="-4"/>
                <w:kern w:val="0"/>
              </w:rPr>
              <w:t>元以下的罚款；对单位处以</w:t>
            </w:r>
            <w:r>
              <w:rPr>
                <w:rFonts w:asciiTheme="minorEastAsia" w:eastAsiaTheme="minorEastAsia" w:hAnsiTheme="minorEastAsia" w:cs="宋体"/>
                <w:spacing w:val="-4"/>
                <w:kern w:val="0"/>
              </w:rPr>
              <w:t>1000</w:t>
            </w:r>
            <w:r>
              <w:rPr>
                <w:rFonts w:asciiTheme="minorEastAsia" w:eastAsiaTheme="minorEastAsia" w:hAnsiTheme="minorEastAsia" w:cs="宋体" w:hint="eastAsia"/>
                <w:spacing w:val="-4"/>
                <w:kern w:val="0"/>
              </w:rPr>
              <w:t>元以上</w:t>
            </w:r>
            <w:r>
              <w:rPr>
                <w:rFonts w:asciiTheme="minorEastAsia" w:eastAsiaTheme="minorEastAsia" w:hAnsiTheme="minorEastAsia" w:cs="宋体"/>
                <w:spacing w:val="-4"/>
                <w:kern w:val="0"/>
              </w:rPr>
              <w:t>3</w:t>
            </w:r>
            <w:r>
              <w:rPr>
                <w:rFonts w:asciiTheme="minorEastAsia" w:eastAsiaTheme="minorEastAsia" w:hAnsiTheme="minorEastAsia" w:cs="宋体" w:hint="eastAsia"/>
                <w:spacing w:val="-4"/>
                <w:kern w:val="0"/>
              </w:rPr>
              <w:t>万元以下的罚款；造成损失的，依法赔偿损失。</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3237"/>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lastRenderedPageBreak/>
              <w:t>4</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对占用城市道路期满或者挖掘城市道路后，不及时清理现场的处罚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占用期满或挖掘城市道路后，未及时清理现场</w:t>
            </w:r>
            <w:r>
              <w:rPr>
                <w:rFonts w:asciiTheme="minorEastAsia" w:eastAsiaTheme="minorEastAsia" w:hAnsiTheme="minorEastAsia" w:cs="宋体"/>
                <w:spacing w:val="-4"/>
                <w:kern w:val="0"/>
              </w:rPr>
              <w:t>1</w:t>
            </w:r>
            <w:r>
              <w:rPr>
                <w:rFonts w:asciiTheme="minorEastAsia" w:eastAsiaTheme="minorEastAsia" w:hAnsiTheme="minorEastAsia" w:cs="宋体" w:hint="eastAsia"/>
                <w:spacing w:val="-4"/>
                <w:kern w:val="0"/>
              </w:rPr>
              <w:t>日以内，及时改正，没有造成危害后果的。</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【行政法规】《城市道路管理条例》（国务院令</w:t>
            </w:r>
            <w:r>
              <w:rPr>
                <w:rFonts w:asciiTheme="minorEastAsia" w:eastAsiaTheme="minorEastAsia" w:hAnsiTheme="minorEastAsia" w:cs="宋体"/>
                <w:spacing w:val="-4"/>
                <w:kern w:val="0"/>
              </w:rPr>
              <w:t>1996</w:t>
            </w:r>
            <w:r>
              <w:rPr>
                <w:rFonts w:asciiTheme="minorEastAsia" w:eastAsiaTheme="minorEastAsia" w:hAnsiTheme="minorEastAsia" w:cs="宋体" w:hint="eastAsia"/>
                <w:spacing w:val="-4"/>
                <w:kern w:val="0"/>
              </w:rPr>
              <w:t>年第</w:t>
            </w:r>
            <w:r>
              <w:rPr>
                <w:rFonts w:asciiTheme="minorEastAsia" w:eastAsiaTheme="minorEastAsia" w:hAnsiTheme="minorEastAsia" w:cs="宋体"/>
                <w:spacing w:val="-4"/>
                <w:kern w:val="0"/>
              </w:rPr>
              <w:t>198</w:t>
            </w:r>
            <w:r>
              <w:rPr>
                <w:rFonts w:asciiTheme="minorEastAsia" w:eastAsiaTheme="minorEastAsia" w:hAnsiTheme="minorEastAsia" w:cs="宋体" w:hint="eastAsia"/>
                <w:spacing w:val="-4"/>
                <w:kern w:val="0"/>
              </w:rPr>
              <w:t>号）</w:t>
            </w:r>
            <w:r>
              <w:rPr>
                <w:rFonts w:asciiTheme="minorEastAsia" w:eastAsiaTheme="minorEastAsia" w:hAnsiTheme="minorEastAsia" w:cs="宋体"/>
                <w:spacing w:val="-4"/>
                <w:kern w:val="0"/>
              </w:rPr>
              <w:t xml:space="preserve">                                                                         </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第三十一条第二款　经批准临时占用城市道路的，不得损坏城市道路；占用期满后，应当及时清理占用现场，恢复城市道路原状；损坏城市道路的，应当修复或者给予赔偿。</w:t>
            </w:r>
            <w:r>
              <w:rPr>
                <w:rFonts w:asciiTheme="minorEastAsia" w:eastAsiaTheme="minorEastAsia" w:hAnsiTheme="minorEastAsia" w:cs="宋体"/>
                <w:spacing w:val="-4"/>
                <w:kern w:val="0"/>
              </w:rPr>
              <w:t xml:space="preserve">     </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第四十二条</w:t>
            </w: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违反本条例第二十七条规定，或者有下列行为之一的，由市政工程行政主管部门或者其他有关部门责令限期改正，可以处以</w:t>
            </w:r>
            <w:r>
              <w:rPr>
                <w:rFonts w:asciiTheme="minorEastAsia" w:eastAsiaTheme="minorEastAsia" w:hAnsiTheme="minorEastAsia" w:cs="宋体"/>
                <w:spacing w:val="-4"/>
                <w:kern w:val="0"/>
              </w:rPr>
              <w:t>2</w:t>
            </w:r>
            <w:r>
              <w:rPr>
                <w:rFonts w:asciiTheme="minorEastAsia" w:eastAsiaTheme="minorEastAsia" w:hAnsiTheme="minorEastAsia" w:cs="宋体" w:hint="eastAsia"/>
                <w:spacing w:val="-4"/>
                <w:kern w:val="0"/>
              </w:rPr>
              <w:t>万元以下的罚款；造成损失的，应当依法承担赔偿责任：</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（三）占用城市道路期满或者挖掘城市道路后，不及时清理现场的；</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3095"/>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t>5</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对擅自占用道路、人行过街桥、人行地下过街通道、地铁通道以及其他公共场地摆摊设点的处罚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占用期满或挖掘城市道路后，未及时清理现场</w:t>
            </w:r>
            <w:r>
              <w:rPr>
                <w:rFonts w:asciiTheme="minorEastAsia" w:eastAsiaTheme="minorEastAsia" w:hAnsiTheme="minorEastAsia" w:cs="宋体"/>
                <w:spacing w:val="-4"/>
                <w:kern w:val="0"/>
              </w:rPr>
              <w:t>1</w:t>
            </w:r>
            <w:r>
              <w:rPr>
                <w:rFonts w:asciiTheme="minorEastAsia" w:eastAsiaTheme="minorEastAsia" w:hAnsiTheme="minorEastAsia" w:cs="宋体" w:hint="eastAsia"/>
                <w:spacing w:val="-4"/>
                <w:kern w:val="0"/>
              </w:rPr>
              <w:t>日以内，及时改正，没有造成危害后果的。</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【地方性法规】《江苏省城市市容和环境卫生管理条例》</w:t>
            </w: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 xml:space="preserve">　</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hint="eastAsia"/>
                <w:spacing w:val="-4"/>
                <w:kern w:val="0"/>
              </w:rPr>
              <w:t>第十九条</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任何单位和个人不得擅自占用道路、公共广场、人行过街桥、人行地下通道等公共场地摆摊设点，不得擅自占用道路在货运车辆上兜售物品。经批准或者疏导临时占用道路、公共广场或者其他公共场地摆摊设点的，经营者应当按照规定的时间、区域经营并保持场地及周围环境卫生、整洁、有序。</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第六十三条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违反本条例规定，有下列行为之一，影响市容的，由设区的市、县（市、区）城市管理主管部门按照以下规定处理：</w:t>
            </w:r>
            <w:r>
              <w:rPr>
                <w:rFonts w:asciiTheme="minorEastAsia" w:eastAsiaTheme="minorEastAsia" w:hAnsiTheme="minorEastAsia" w:cs="宋体" w:hint="eastAsia"/>
                <w:spacing w:val="-4"/>
                <w:kern w:val="0"/>
              </w:rPr>
              <w:t xml:space="preserve">　</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spacing w:val="-4"/>
                <w:kern w:val="0"/>
              </w:rPr>
              <w:t>（六）擅自占用道路、公共广场、人行过街桥、人行地</w:t>
            </w:r>
            <w:r>
              <w:rPr>
                <w:rFonts w:asciiTheme="minorEastAsia" w:eastAsiaTheme="minorEastAsia" w:hAnsiTheme="minorEastAsia" w:cs="宋体"/>
                <w:spacing w:val="-4"/>
                <w:kern w:val="0"/>
              </w:rPr>
              <w:t>下通道以及其他公共场地摆摊设点的，责令停止违法行为；继续违法经营的，可以依法扣押涉案的物品及其装盛器具，处二十元以上二百元以下罚款；擅自占用道路在货运车辆上兜售物品的，处五百元以上五千元以下罚款。依法决定实施扣押的，应当履行法定程序，制作并当场交付扣押决定书和清单。</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2668"/>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lastRenderedPageBreak/>
              <w:t>6</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对未在挖掘现场悬挂《挖掘道路许可证》的</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【地方性法规】《苏州市市政设施管理条例》</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第二十三条</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经批准挖掘城市道路的单位和个人，应当遵守下列规定：（二）在挖掘现场悬挂《挖掘道路许可证》，按证实施，不得擅自变更；</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第五十一条</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2812"/>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7</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对在景观区域内划定的禁止水域垂钓、捕鱼、游泳的处罚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【地方性法规】《苏州市城市市容和环境卫生管理条例》</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第三十二条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单位和个人应当自觉维护环境卫生，禁止下列影响公共场所环境卫生的行为：</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（四）</w:t>
            </w:r>
            <w:r>
              <w:rPr>
                <w:rFonts w:asciiTheme="minorEastAsia" w:eastAsiaTheme="minorEastAsia" w:hAnsiTheme="minorEastAsia" w:cs="宋体"/>
                <w:spacing w:val="-4"/>
                <w:kern w:val="0"/>
              </w:rPr>
              <w:t>在景观区域内划定的禁止水域垂钓、捕鱼、游泳；</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第四十九条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违反本条例第三十二条规定，有下列行为之一的，按照以下规定处理：</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（一）在景观区域内划定的禁止水域垂钓、捕鱼、游泳的，由城市管理行政主管部门责令改正，可以给予警告，并可以处以二十元以上二百元以下罚款；</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rPr>
          <w:trHeight w:val="2812"/>
          <w:jc w:val="center"/>
        </w:trPr>
        <w:tc>
          <w:tcPr>
            <w:tcW w:w="595"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lastRenderedPageBreak/>
              <w:t>8</w:t>
            </w:r>
          </w:p>
        </w:tc>
        <w:tc>
          <w:tcPr>
            <w:tcW w:w="20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w:t>
            </w:r>
            <w:r>
              <w:rPr>
                <w:rFonts w:asciiTheme="minorEastAsia" w:eastAsiaTheme="minorEastAsia" w:hAnsiTheme="minorEastAsia" w:cs="宋体"/>
                <w:spacing w:val="-4"/>
                <w:kern w:val="0"/>
              </w:rPr>
              <w:t>在他人停放的车辆上擅自插放、散发、张贴宣传品</w:t>
            </w:r>
            <w:r>
              <w:rPr>
                <w:rFonts w:asciiTheme="minorEastAsia" w:eastAsiaTheme="minorEastAsia" w:hAnsiTheme="minorEastAsia" w:cs="宋体" w:hint="eastAsia"/>
                <w:spacing w:val="-4"/>
                <w:kern w:val="0"/>
              </w:rPr>
              <w:t>的处罚</w:t>
            </w:r>
          </w:p>
        </w:tc>
        <w:tc>
          <w:tcPr>
            <w:tcW w:w="220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76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【地方性法规】《苏州市城市市容和环境卫生管理条例》</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第三十二条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单位和个人应当自觉维护环境卫生，禁止下列影响公共场所环境卫生的行为：</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（五）</w:t>
            </w:r>
            <w:r>
              <w:rPr>
                <w:rFonts w:asciiTheme="minorEastAsia" w:eastAsiaTheme="minorEastAsia" w:hAnsiTheme="minorEastAsia" w:cs="宋体"/>
                <w:spacing w:val="-4"/>
                <w:kern w:val="0"/>
              </w:rPr>
              <w:t>在他人停放的车辆上擅自插放、散发、张贴宣传品；</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第四十九条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违反本条例第三十二条规定，有下列行为之一的，按照以下规定处理：</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（二）在他人停放的车辆上擅自插放、散发、张贴宣传品的，由城市管理行政主管部门责令改正，对个人处以五十元以上二百元以下罚款，对单位处以五百元以上一千元以下罚款。</w:t>
            </w:r>
          </w:p>
        </w:tc>
        <w:tc>
          <w:tcPr>
            <w:tcW w:w="156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bl>
    <w:p w:rsidR="008C5238" w:rsidRDefault="008C5238">
      <w:pPr>
        <w:overflowPunct w:val="0"/>
        <w:adjustRightInd w:val="0"/>
        <w:snapToGrid w:val="0"/>
        <w:spacing w:before="100" w:beforeAutospacing="1" w:after="100" w:afterAutospacing="1"/>
        <w:jc w:val="left"/>
        <w:rPr>
          <w:rFonts w:asciiTheme="minorEastAsia" w:eastAsiaTheme="minorEastAsia" w:hAnsiTheme="minorEastAsia" w:cs="宋体"/>
          <w:spacing w:val="-4"/>
          <w:kern w:val="0"/>
        </w:rPr>
      </w:pPr>
    </w:p>
    <w:p w:rsidR="008C5238" w:rsidRDefault="00094AD0">
      <w:pPr>
        <w:widowControl/>
        <w:jc w:val="left"/>
        <w:rPr>
          <w:rFonts w:asciiTheme="minorEastAsia" w:eastAsiaTheme="minorEastAsia" w:hAnsiTheme="minorEastAsia" w:cs="宋体"/>
          <w:spacing w:val="-4"/>
          <w:kern w:val="0"/>
        </w:rPr>
      </w:pPr>
      <w:r>
        <w:rPr>
          <w:rFonts w:asciiTheme="minorEastAsia" w:eastAsiaTheme="minorEastAsia" w:hAnsiTheme="minorEastAsia" w:cs="宋体"/>
          <w:spacing w:val="-4"/>
          <w:kern w:val="0"/>
        </w:rPr>
        <w:br w:type="page"/>
      </w:r>
    </w:p>
    <w:p w:rsidR="008C5238" w:rsidRDefault="00094AD0">
      <w:pPr>
        <w:overflowPunct w:val="0"/>
        <w:adjustRightInd w:val="0"/>
        <w:snapToGrid w:val="0"/>
        <w:jc w:val="center"/>
        <w:rPr>
          <w:rFonts w:ascii="方正小标宋_GBK" w:eastAsia="方正小标宋_GBK" w:hAnsi="Times New Roman" w:cs="方正小标宋简体"/>
          <w:spacing w:val="-4"/>
          <w:sz w:val="44"/>
          <w:szCs w:val="44"/>
        </w:rPr>
      </w:pPr>
      <w:r>
        <w:rPr>
          <w:rFonts w:ascii="方正小标宋_GBK" w:eastAsia="方正小标宋_GBK" w:hAnsi="Times New Roman" w:cs="方正小标宋简体" w:hint="eastAsia"/>
          <w:spacing w:val="-4"/>
          <w:sz w:val="44"/>
          <w:szCs w:val="44"/>
        </w:rPr>
        <w:lastRenderedPageBreak/>
        <w:t>涉</w:t>
      </w:r>
      <w:proofErr w:type="gramStart"/>
      <w:r>
        <w:rPr>
          <w:rFonts w:ascii="方正小标宋_GBK" w:eastAsia="方正小标宋_GBK" w:hAnsi="Times New Roman" w:cs="方正小标宋简体" w:hint="eastAsia"/>
          <w:spacing w:val="-4"/>
          <w:sz w:val="44"/>
          <w:szCs w:val="44"/>
        </w:rPr>
        <w:t>企一般</w:t>
      </w:r>
      <w:proofErr w:type="gramEnd"/>
      <w:r>
        <w:rPr>
          <w:rFonts w:ascii="方正小标宋_GBK" w:eastAsia="方正小标宋_GBK" w:hAnsi="Times New Roman" w:cs="方正小标宋简体" w:hint="eastAsia"/>
          <w:spacing w:val="-4"/>
          <w:sz w:val="44"/>
          <w:szCs w:val="44"/>
        </w:rPr>
        <w:t>违法行为从轻行政处罚清单（</w:t>
      </w:r>
      <w:r>
        <w:rPr>
          <w:rFonts w:ascii="方正小标宋_GBK" w:eastAsia="方正小标宋_GBK" w:hAnsi="Times New Roman" w:cs="方正小标宋简体" w:hint="eastAsia"/>
          <w:spacing w:val="-4"/>
          <w:sz w:val="44"/>
          <w:szCs w:val="44"/>
        </w:rPr>
        <w:t>4</w:t>
      </w:r>
      <w:r>
        <w:rPr>
          <w:rFonts w:ascii="方正小标宋_GBK" w:eastAsia="方正小标宋_GBK" w:hAnsi="Times New Roman" w:cs="方正小标宋简体"/>
          <w:spacing w:val="-4"/>
          <w:sz w:val="44"/>
          <w:szCs w:val="44"/>
        </w:rPr>
        <w:t>.0</w:t>
      </w:r>
      <w:r>
        <w:rPr>
          <w:rFonts w:ascii="方正小标宋_GBK" w:eastAsia="方正小标宋_GBK" w:hAnsi="Times New Roman" w:cs="方正小标宋简体" w:hint="eastAsia"/>
          <w:spacing w:val="-4"/>
          <w:sz w:val="44"/>
          <w:szCs w:val="44"/>
        </w:rPr>
        <w:t>版）</w:t>
      </w: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
        <w:gridCol w:w="1710"/>
        <w:gridCol w:w="1849"/>
        <w:gridCol w:w="2126"/>
        <w:gridCol w:w="6435"/>
        <w:gridCol w:w="1314"/>
      </w:tblGrid>
      <w:tr w:rsidR="008C5238">
        <w:trPr>
          <w:trHeight w:val="567"/>
          <w:tblHeader/>
          <w:jc w:val="center"/>
        </w:trPr>
        <w:tc>
          <w:tcPr>
            <w:tcW w:w="580"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序号</w:t>
            </w:r>
          </w:p>
        </w:tc>
        <w:tc>
          <w:tcPr>
            <w:tcW w:w="1710"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违法行为</w:t>
            </w:r>
          </w:p>
        </w:tc>
        <w:tc>
          <w:tcPr>
            <w:tcW w:w="1849"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从轻行政处罚条件</w:t>
            </w:r>
          </w:p>
        </w:tc>
        <w:tc>
          <w:tcPr>
            <w:tcW w:w="2126"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自由裁</w:t>
            </w:r>
            <w:proofErr w:type="gramStart"/>
            <w:r>
              <w:rPr>
                <w:rFonts w:ascii="Times New Roman" w:eastAsia="黑体" w:hAnsi="Times New Roman" w:cs="黑体" w:hint="eastAsia"/>
                <w:spacing w:val="-4"/>
              </w:rPr>
              <w:t>量处罚</w:t>
            </w:r>
            <w:proofErr w:type="gramEnd"/>
            <w:r>
              <w:rPr>
                <w:rFonts w:ascii="Times New Roman" w:eastAsia="黑体" w:hAnsi="Times New Roman" w:cs="黑体" w:hint="eastAsia"/>
                <w:spacing w:val="-4"/>
              </w:rPr>
              <w:t>幅度</w:t>
            </w:r>
          </w:p>
        </w:tc>
        <w:tc>
          <w:tcPr>
            <w:tcW w:w="6435"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法律依据</w:t>
            </w:r>
          </w:p>
        </w:tc>
        <w:tc>
          <w:tcPr>
            <w:tcW w:w="1314" w:type="dxa"/>
            <w:vAlign w:val="center"/>
          </w:tcPr>
          <w:p w:rsidR="008C5238" w:rsidRDefault="00094AD0">
            <w:pPr>
              <w:overflowPunct w:val="0"/>
              <w:adjustRightInd w:val="0"/>
              <w:snapToGrid w:val="0"/>
              <w:jc w:val="center"/>
              <w:rPr>
                <w:rFonts w:ascii="Times New Roman" w:eastAsia="黑体" w:hAnsi="Times New Roman" w:cs="黑体"/>
                <w:spacing w:val="-4"/>
              </w:rPr>
            </w:pPr>
            <w:r>
              <w:rPr>
                <w:rFonts w:ascii="Times New Roman" w:eastAsia="黑体" w:hAnsi="Times New Roman" w:cs="黑体" w:hint="eastAsia"/>
                <w:spacing w:val="-4"/>
              </w:rPr>
              <w:t>实施主体</w:t>
            </w:r>
          </w:p>
        </w:tc>
      </w:tr>
      <w:tr w:rsidR="008C5238">
        <w:tblPrEx>
          <w:tblCellMar>
            <w:top w:w="15" w:type="dxa"/>
            <w:bottom w:w="15" w:type="dxa"/>
          </w:tblCellMar>
        </w:tblPrEx>
        <w:trPr>
          <w:trHeight w:val="5592"/>
          <w:jc w:val="center"/>
        </w:trPr>
        <w:tc>
          <w:tcPr>
            <w:tcW w:w="580" w:type="dxa"/>
            <w:vAlign w:val="center"/>
          </w:tcPr>
          <w:p w:rsidR="008C5238" w:rsidRDefault="00094AD0">
            <w:pPr>
              <w:overflowPunct w:val="0"/>
              <w:adjustRightInd w:val="0"/>
              <w:snapToGrid w:val="0"/>
              <w:jc w:val="center"/>
              <w:rPr>
                <w:rFonts w:asciiTheme="minorEastAsia" w:eastAsiaTheme="minorEastAsia" w:hAnsiTheme="minorEastAsia" w:cs="宋体"/>
                <w:spacing w:val="-4"/>
                <w:kern w:val="0"/>
              </w:rPr>
            </w:pPr>
            <w:r>
              <w:rPr>
                <w:rFonts w:asciiTheme="minorEastAsia" w:eastAsiaTheme="minorEastAsia" w:hAnsiTheme="minorEastAsia" w:cs="宋体"/>
                <w:spacing w:val="-4"/>
                <w:kern w:val="0"/>
              </w:rPr>
              <w:t>1</w:t>
            </w:r>
          </w:p>
        </w:tc>
        <w:tc>
          <w:tcPr>
            <w:tcW w:w="1710"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对未及时清除影响市容的废弃杆、管、箱等设施的处罚</w:t>
            </w:r>
          </w:p>
        </w:tc>
        <w:tc>
          <w:tcPr>
            <w:tcW w:w="1849"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2126"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10</w:t>
            </w:r>
            <w:r>
              <w:rPr>
                <w:rFonts w:asciiTheme="minorEastAsia" w:eastAsiaTheme="minorEastAsia" w:hAnsiTheme="minorEastAsia" w:cs="宋体" w:hint="eastAsia"/>
                <w:spacing w:val="-4"/>
                <w:kern w:val="0"/>
              </w:rPr>
              <w:t>只</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10</w:t>
            </w:r>
            <w:r>
              <w:rPr>
                <w:rFonts w:asciiTheme="minorEastAsia" w:eastAsiaTheme="minorEastAsia" w:hAnsiTheme="minorEastAsia" w:cs="宋体" w:hint="eastAsia"/>
                <w:spacing w:val="-4"/>
                <w:kern w:val="0"/>
              </w:rPr>
              <w:t>米</w:t>
            </w:r>
            <w:r>
              <w:rPr>
                <w:rFonts w:asciiTheme="minorEastAsia" w:eastAsiaTheme="minorEastAsia" w:hAnsiTheme="minorEastAsia" w:cs="宋体" w:hint="eastAsia"/>
                <w:spacing w:val="-4"/>
                <w:kern w:val="0"/>
              </w:rPr>
              <w:t>)</w:t>
            </w:r>
            <w:r>
              <w:rPr>
                <w:rFonts w:asciiTheme="minorEastAsia" w:eastAsiaTheme="minorEastAsia" w:hAnsiTheme="minorEastAsia" w:cs="宋体" w:hint="eastAsia"/>
                <w:spacing w:val="-4"/>
                <w:kern w:val="0"/>
              </w:rPr>
              <w:t>以下，</w:t>
            </w:r>
            <w:r>
              <w:rPr>
                <w:rFonts w:asciiTheme="minorEastAsia" w:eastAsiaTheme="minorEastAsia" w:hAnsiTheme="minorEastAsia" w:cs="宋体"/>
                <w:spacing w:val="-4"/>
                <w:kern w:val="0"/>
              </w:rPr>
              <w:t>1000</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2000</w:t>
            </w:r>
            <w:r>
              <w:rPr>
                <w:rFonts w:asciiTheme="minorEastAsia" w:eastAsiaTheme="minorEastAsia" w:hAnsiTheme="minorEastAsia" w:cs="宋体"/>
                <w:spacing w:val="-4"/>
                <w:kern w:val="0"/>
              </w:rPr>
              <w:t>元幅度内从轻罚款</w:t>
            </w:r>
            <w:r>
              <w:rPr>
                <w:rFonts w:asciiTheme="minorEastAsia" w:eastAsiaTheme="minorEastAsia" w:hAnsiTheme="minorEastAsia" w:cs="宋体" w:hint="eastAsia"/>
                <w:spacing w:val="-4"/>
                <w:kern w:val="0"/>
              </w:rPr>
              <w:t>；</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10</w:t>
            </w:r>
            <w:r>
              <w:rPr>
                <w:rFonts w:asciiTheme="minorEastAsia" w:eastAsiaTheme="minorEastAsia" w:hAnsiTheme="minorEastAsia" w:cs="宋体" w:hint="eastAsia"/>
                <w:spacing w:val="-4"/>
                <w:kern w:val="0"/>
              </w:rPr>
              <w:t>只</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10</w:t>
            </w:r>
            <w:r>
              <w:rPr>
                <w:rFonts w:asciiTheme="minorEastAsia" w:eastAsiaTheme="minorEastAsia" w:hAnsiTheme="minorEastAsia" w:cs="宋体" w:hint="eastAsia"/>
                <w:spacing w:val="-4"/>
                <w:kern w:val="0"/>
              </w:rPr>
              <w:t>米</w:t>
            </w:r>
            <w:r>
              <w:rPr>
                <w:rFonts w:asciiTheme="minorEastAsia" w:eastAsiaTheme="minorEastAsia" w:hAnsiTheme="minorEastAsia" w:cs="宋体" w:hint="eastAsia"/>
                <w:spacing w:val="-4"/>
                <w:kern w:val="0"/>
              </w:rPr>
              <w:t>)</w:t>
            </w:r>
            <w:r>
              <w:rPr>
                <w:rFonts w:asciiTheme="minorEastAsia" w:eastAsiaTheme="minorEastAsia" w:hAnsiTheme="minorEastAsia" w:cs="宋体" w:hint="eastAsia"/>
                <w:spacing w:val="-4"/>
                <w:kern w:val="0"/>
              </w:rPr>
              <w:t>至</w:t>
            </w:r>
            <w:r>
              <w:rPr>
                <w:rFonts w:asciiTheme="minorEastAsia" w:eastAsiaTheme="minorEastAsia" w:hAnsiTheme="minorEastAsia" w:cs="宋体"/>
                <w:spacing w:val="-4"/>
                <w:kern w:val="0"/>
              </w:rPr>
              <w:t>30</w:t>
            </w:r>
            <w:r>
              <w:rPr>
                <w:rFonts w:asciiTheme="minorEastAsia" w:eastAsiaTheme="minorEastAsia" w:hAnsiTheme="minorEastAsia" w:cs="宋体" w:hint="eastAsia"/>
                <w:spacing w:val="-4"/>
                <w:kern w:val="0"/>
              </w:rPr>
              <w:t>只</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30</w:t>
            </w:r>
            <w:r>
              <w:rPr>
                <w:rFonts w:asciiTheme="minorEastAsia" w:eastAsiaTheme="minorEastAsia" w:hAnsiTheme="minorEastAsia" w:cs="宋体" w:hint="eastAsia"/>
                <w:spacing w:val="-4"/>
                <w:kern w:val="0"/>
              </w:rPr>
              <w:t>米</w:t>
            </w:r>
            <w:r>
              <w:rPr>
                <w:rFonts w:asciiTheme="minorEastAsia" w:eastAsiaTheme="minorEastAsia" w:hAnsiTheme="minorEastAsia" w:cs="宋体" w:hint="eastAsia"/>
                <w:spacing w:val="-4"/>
                <w:kern w:val="0"/>
              </w:rPr>
              <w:t>)</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2000</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4000</w:t>
            </w:r>
            <w:r>
              <w:rPr>
                <w:rFonts w:asciiTheme="minorEastAsia" w:eastAsiaTheme="minorEastAsia" w:hAnsiTheme="minorEastAsia" w:cs="宋体"/>
                <w:spacing w:val="-4"/>
                <w:kern w:val="0"/>
              </w:rPr>
              <w:t>元幅度内从轻</w:t>
            </w:r>
            <w:r>
              <w:rPr>
                <w:rFonts w:asciiTheme="minorEastAsia" w:eastAsiaTheme="minorEastAsia" w:hAnsiTheme="minorEastAsia" w:cs="宋体" w:hint="eastAsia"/>
                <w:spacing w:val="-4"/>
                <w:kern w:val="0"/>
              </w:rPr>
              <w:t>罚款</w:t>
            </w:r>
            <w:r>
              <w:rPr>
                <w:rFonts w:asciiTheme="minorEastAsia" w:eastAsiaTheme="minorEastAsia" w:hAnsiTheme="minorEastAsia" w:cs="宋体"/>
                <w:spacing w:val="-4"/>
                <w:kern w:val="0"/>
              </w:rPr>
              <w:t>；</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spacing w:val="-4"/>
                <w:kern w:val="0"/>
              </w:rPr>
              <w:t>30</w:t>
            </w:r>
            <w:r>
              <w:rPr>
                <w:rFonts w:asciiTheme="minorEastAsia" w:eastAsiaTheme="minorEastAsia" w:hAnsiTheme="minorEastAsia" w:cs="宋体" w:hint="eastAsia"/>
                <w:spacing w:val="-4"/>
                <w:kern w:val="0"/>
              </w:rPr>
              <w:t>只</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30</w:t>
            </w:r>
            <w:r>
              <w:rPr>
                <w:rFonts w:asciiTheme="minorEastAsia" w:eastAsiaTheme="minorEastAsia" w:hAnsiTheme="minorEastAsia" w:cs="宋体" w:hint="eastAsia"/>
                <w:spacing w:val="-4"/>
                <w:kern w:val="0"/>
              </w:rPr>
              <w:t>米</w:t>
            </w:r>
            <w:r>
              <w:rPr>
                <w:rFonts w:asciiTheme="minorEastAsia" w:eastAsiaTheme="minorEastAsia" w:hAnsiTheme="minorEastAsia" w:cs="宋体" w:hint="eastAsia"/>
                <w:spacing w:val="-4"/>
                <w:kern w:val="0"/>
              </w:rPr>
              <w:t>)</w:t>
            </w:r>
            <w:r>
              <w:rPr>
                <w:rFonts w:asciiTheme="minorEastAsia" w:eastAsiaTheme="minorEastAsia" w:hAnsiTheme="minorEastAsia" w:cs="宋体" w:hint="eastAsia"/>
                <w:spacing w:val="-4"/>
                <w:kern w:val="0"/>
              </w:rPr>
              <w:t>以上，</w:t>
            </w:r>
            <w:r>
              <w:rPr>
                <w:rFonts w:asciiTheme="minorEastAsia" w:eastAsiaTheme="minorEastAsia" w:hAnsiTheme="minorEastAsia" w:cs="宋体"/>
                <w:spacing w:val="-4"/>
                <w:kern w:val="0"/>
              </w:rPr>
              <w:t>4000</w:t>
            </w:r>
            <w:r>
              <w:rPr>
                <w:rFonts w:asciiTheme="minorEastAsia" w:eastAsiaTheme="minorEastAsia" w:hAnsiTheme="minorEastAsia" w:cs="宋体" w:hint="eastAsia"/>
                <w:spacing w:val="-4"/>
                <w:kern w:val="0"/>
              </w:rPr>
              <w:t>-</w:t>
            </w:r>
            <w:r>
              <w:rPr>
                <w:rFonts w:asciiTheme="minorEastAsia" w:eastAsiaTheme="minorEastAsia" w:hAnsiTheme="minorEastAsia" w:cs="宋体"/>
                <w:spacing w:val="-4"/>
                <w:kern w:val="0"/>
              </w:rPr>
              <w:t>5000</w:t>
            </w:r>
            <w:r>
              <w:rPr>
                <w:rFonts w:asciiTheme="minorEastAsia" w:eastAsiaTheme="minorEastAsia" w:hAnsiTheme="minorEastAsia" w:cs="宋体"/>
                <w:spacing w:val="-4"/>
                <w:kern w:val="0"/>
              </w:rPr>
              <w:t>元罚款</w:t>
            </w:r>
            <w:r>
              <w:rPr>
                <w:rFonts w:asciiTheme="minorEastAsia" w:eastAsiaTheme="minorEastAsia" w:hAnsiTheme="minorEastAsia" w:cs="宋体" w:hint="eastAsia"/>
                <w:spacing w:val="-4"/>
                <w:kern w:val="0"/>
              </w:rPr>
              <w:t>。</w:t>
            </w:r>
          </w:p>
        </w:tc>
        <w:tc>
          <w:tcPr>
            <w:tcW w:w="643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【地方性法规】《苏州市城市市容和环境卫生管理条例》</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第五条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城市管理行政主管部门负责本行政区域内的市容环卫管理工作。</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spacing w:val="-4"/>
                <w:kern w:val="0"/>
              </w:rPr>
              <w:t>发展和改革、公安、财政、自然资源和规划、生态环境、住房和城乡建设、园林和绿化管理、卫生健康、文化广电和旅游、交通运输、水务、农业农村、应急管理、市场监督管理等部门按照各自职责，做好市容环卫管理相关工作。</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第十九条第二款</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spacing w:val="-4"/>
                <w:kern w:val="0"/>
              </w:rPr>
              <w:t>杆、管、箱等设施所</w:t>
            </w:r>
            <w:r>
              <w:rPr>
                <w:rFonts w:asciiTheme="minorEastAsia" w:eastAsiaTheme="minorEastAsia" w:hAnsiTheme="minorEastAsia" w:cs="宋体"/>
                <w:spacing w:val="-4"/>
                <w:kern w:val="0"/>
              </w:rPr>
              <w:t>有人或者管理人应当完善权属等标志标识；存在破损、倾斜、附属设施缺失等现象的杆、管、箱等设施，所有人或者管理人应当及时整改；废弃的杆、管、箱等设施，所有人或者管理人应当及时拆除。</w:t>
            </w:r>
          </w:p>
          <w:p w:rsidR="008C5238" w:rsidRDefault="00094AD0">
            <w:pPr>
              <w:overflowPunct w:val="0"/>
              <w:adjustRightInd w:val="0"/>
              <w:snapToGrid w:val="0"/>
              <w:spacing w:line="360" w:lineRule="exact"/>
              <w:ind w:firstLine="390"/>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spacing w:val="-4"/>
                <w:kern w:val="0"/>
              </w:rPr>
              <w:t>第四十七条</w:t>
            </w:r>
            <w:r>
              <w:rPr>
                <w:rFonts w:asciiTheme="minorEastAsia" w:eastAsiaTheme="minorEastAsia" w:hAnsiTheme="minorEastAsia" w:cs="宋体"/>
                <w:spacing w:val="-4"/>
                <w:kern w:val="0"/>
              </w:rPr>
              <w:t xml:space="preserve"> </w:t>
            </w:r>
            <w:r>
              <w:rPr>
                <w:rFonts w:asciiTheme="minorEastAsia" w:eastAsiaTheme="minorEastAsia" w:hAnsiTheme="minorEastAsia" w:cs="宋体"/>
                <w:spacing w:val="-4"/>
                <w:kern w:val="0"/>
              </w:rPr>
              <w:t>违反本条例第十九条第二款规定，未及时拆除废弃的杆、管、箱等设施的，由城市管理行政主管部门责令限期改正；逾期不改正的，处以一千元以上五千元以下罚款。</w:t>
            </w:r>
          </w:p>
        </w:tc>
        <w:tc>
          <w:tcPr>
            <w:tcW w:w="131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r w:rsidR="008C5238">
        <w:tblPrEx>
          <w:tblCellMar>
            <w:top w:w="15" w:type="dxa"/>
            <w:bottom w:w="15" w:type="dxa"/>
          </w:tblCellMar>
        </w:tblPrEx>
        <w:trPr>
          <w:trHeight w:val="7374"/>
          <w:jc w:val="center"/>
        </w:trPr>
        <w:tc>
          <w:tcPr>
            <w:tcW w:w="580" w:type="dxa"/>
            <w:vAlign w:val="center"/>
          </w:tcPr>
          <w:p w:rsidR="008C5238" w:rsidRDefault="00094AD0">
            <w:pPr>
              <w:overflowPunct w:val="0"/>
              <w:adjustRightInd w:val="0"/>
              <w:snapToGrid w:val="0"/>
              <w:jc w:val="center"/>
              <w:rPr>
                <w:rFonts w:ascii="Times New Roman" w:hAnsi="Times New Roman" w:cs="Times New Roman"/>
                <w:spacing w:val="-4"/>
                <w:kern w:val="0"/>
              </w:rPr>
            </w:pPr>
            <w:r>
              <w:rPr>
                <w:rFonts w:asciiTheme="minorEastAsia" w:eastAsiaTheme="minorEastAsia" w:hAnsiTheme="minorEastAsia" w:cs="宋体"/>
                <w:spacing w:val="-4"/>
                <w:kern w:val="0"/>
              </w:rPr>
              <w:lastRenderedPageBreak/>
              <w:t>2</w:t>
            </w:r>
          </w:p>
        </w:tc>
        <w:tc>
          <w:tcPr>
            <w:tcW w:w="1710"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对户外广告设施设置期满，所有人或者管理人未拆除并恢复设置载体原状的处罚</w:t>
            </w:r>
          </w:p>
        </w:tc>
        <w:tc>
          <w:tcPr>
            <w:tcW w:w="1849"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初次违反，违法行为轻微，未造成危害后果。</w:t>
            </w:r>
          </w:p>
        </w:tc>
        <w:tc>
          <w:tcPr>
            <w:tcW w:w="2126"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户外广告设施已拆除，但未恢复设置载体原状的，</w:t>
            </w:r>
            <w:r>
              <w:rPr>
                <w:rFonts w:asciiTheme="minorEastAsia" w:eastAsiaTheme="minorEastAsia" w:hAnsiTheme="minorEastAsia" w:cs="宋体" w:hint="eastAsia"/>
                <w:spacing w:val="-4"/>
                <w:kern w:val="0"/>
              </w:rPr>
              <w:t>2</w:t>
            </w:r>
            <w:r>
              <w:rPr>
                <w:rFonts w:asciiTheme="minorEastAsia" w:eastAsiaTheme="minorEastAsia" w:hAnsiTheme="minorEastAsia" w:cs="宋体"/>
                <w:spacing w:val="-4"/>
                <w:kern w:val="0"/>
              </w:rPr>
              <w:t>00-1000</w:t>
            </w:r>
            <w:r>
              <w:rPr>
                <w:rFonts w:asciiTheme="minorEastAsia" w:eastAsiaTheme="minorEastAsia" w:hAnsiTheme="minorEastAsia" w:cs="宋体"/>
                <w:spacing w:val="-4"/>
                <w:kern w:val="0"/>
              </w:rPr>
              <w:t>元幅度内从轻罚款；</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户外广告设施未拆除的，但未造成严重后果的，</w:t>
            </w:r>
            <w:r>
              <w:rPr>
                <w:rFonts w:asciiTheme="minorEastAsia" w:eastAsiaTheme="minorEastAsia" w:hAnsiTheme="minorEastAsia" w:cs="宋体"/>
                <w:spacing w:val="-4"/>
                <w:kern w:val="0"/>
              </w:rPr>
              <w:t>1000-1500</w:t>
            </w:r>
            <w:r>
              <w:rPr>
                <w:rFonts w:asciiTheme="minorEastAsia" w:eastAsiaTheme="minorEastAsia" w:hAnsiTheme="minorEastAsia" w:cs="宋体"/>
                <w:spacing w:val="-4"/>
                <w:kern w:val="0"/>
              </w:rPr>
              <w:t>元幅度内从轻罚款；</w:t>
            </w:r>
          </w:p>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造成人员伤亡或者经济损失等严重后果的，</w:t>
            </w:r>
            <w:r>
              <w:rPr>
                <w:rFonts w:asciiTheme="minorEastAsia" w:eastAsiaTheme="minorEastAsia" w:hAnsiTheme="minorEastAsia" w:cs="宋体" w:hint="eastAsia"/>
                <w:spacing w:val="-4"/>
                <w:kern w:val="0"/>
              </w:rPr>
              <w:t>1</w:t>
            </w:r>
            <w:r>
              <w:rPr>
                <w:rFonts w:asciiTheme="minorEastAsia" w:eastAsiaTheme="minorEastAsia" w:hAnsiTheme="minorEastAsia" w:cs="宋体"/>
                <w:spacing w:val="-4"/>
                <w:kern w:val="0"/>
              </w:rPr>
              <w:t>500-2000</w:t>
            </w:r>
            <w:r>
              <w:rPr>
                <w:rFonts w:asciiTheme="minorEastAsia" w:eastAsiaTheme="minorEastAsia" w:hAnsiTheme="minorEastAsia" w:cs="宋体"/>
                <w:spacing w:val="-4"/>
                <w:kern w:val="0"/>
              </w:rPr>
              <w:t>元罚款。</w:t>
            </w:r>
          </w:p>
        </w:tc>
        <w:tc>
          <w:tcPr>
            <w:tcW w:w="643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【地方性法规】《苏州市城市市容和环境卫生管理条例》</w:t>
            </w:r>
          </w:p>
          <w:p w:rsidR="008C5238" w:rsidRDefault="00094AD0">
            <w:p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第二十五条第二款</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户外广告设施设置期满的，所有人或者管理人应当拆除并恢复设置载体原状。</w:t>
            </w:r>
          </w:p>
          <w:p w:rsidR="008C5238" w:rsidRDefault="00094AD0">
            <w:p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第四十八条</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违反本条例第二十五条第二款规定，户外广告设施设置期满，所有人或者管理人未拆除并恢复设置载体原</w:t>
            </w:r>
            <w:r>
              <w:rPr>
                <w:rFonts w:asciiTheme="minorEastAsia" w:eastAsiaTheme="minorEastAsia" w:hAnsiTheme="minorEastAsia" w:cs="宋体" w:hint="eastAsia"/>
                <w:spacing w:val="-4"/>
                <w:kern w:val="0"/>
              </w:rPr>
              <w:t>状的，由城市管理行政主管部门责令限期改正；逾期不改正的，处以二百元以上二千元以下罚款。</w:t>
            </w:r>
          </w:p>
        </w:tc>
        <w:tc>
          <w:tcPr>
            <w:tcW w:w="1314"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市城管局，县级市、区城管局（综合行政执法局），行使相应行政处罚权的镇人民政府（街道办事处）。</w:t>
            </w:r>
          </w:p>
        </w:tc>
      </w:tr>
    </w:tbl>
    <w:p w:rsidR="008C5238" w:rsidRDefault="00094AD0">
      <w:pPr>
        <w:overflowPunct w:val="0"/>
        <w:adjustRightInd w:val="0"/>
        <w:snapToGrid w:val="0"/>
        <w:jc w:val="center"/>
        <w:rPr>
          <w:rFonts w:ascii="方正小标宋_GBK" w:eastAsia="方正小标宋_GBK" w:hAnsi="Times New Roman" w:cs="方正小标宋简体"/>
          <w:spacing w:val="-4"/>
          <w:sz w:val="44"/>
          <w:szCs w:val="44"/>
        </w:rPr>
      </w:pPr>
      <w:r>
        <w:rPr>
          <w:rFonts w:ascii="方正小标宋_GBK" w:eastAsia="方正小标宋_GBK" w:hAnsi="Times New Roman" w:cs="方正小标宋简体" w:hint="eastAsia"/>
          <w:spacing w:val="-4"/>
          <w:sz w:val="44"/>
          <w:szCs w:val="44"/>
        </w:rPr>
        <w:lastRenderedPageBreak/>
        <w:t>不予实施行政强制措施清单（</w:t>
      </w:r>
      <w:r>
        <w:rPr>
          <w:rFonts w:ascii="方正小标宋_GBK" w:eastAsia="方正小标宋_GBK" w:hAnsi="Times New Roman" w:cs="方正小标宋简体" w:hint="eastAsia"/>
          <w:spacing w:val="-4"/>
          <w:sz w:val="44"/>
          <w:szCs w:val="44"/>
        </w:rPr>
        <w:t>4</w:t>
      </w:r>
      <w:r>
        <w:rPr>
          <w:rFonts w:ascii="方正小标宋_GBK" w:eastAsia="方正小标宋_GBK" w:hAnsi="Times New Roman" w:cs="方正小标宋简体"/>
          <w:spacing w:val="-4"/>
          <w:sz w:val="44"/>
          <w:szCs w:val="44"/>
        </w:rPr>
        <w:t>.0</w:t>
      </w:r>
      <w:r>
        <w:rPr>
          <w:rFonts w:ascii="方正小标宋_GBK" w:eastAsia="方正小标宋_GBK" w:hAnsi="Times New Roman" w:cs="方正小标宋简体" w:hint="eastAsia"/>
          <w:spacing w:val="-4"/>
          <w:sz w:val="44"/>
          <w:szCs w:val="44"/>
        </w:rPr>
        <w:t>版）</w:t>
      </w:r>
    </w:p>
    <w:tbl>
      <w:tblPr>
        <w:tblW w:w="14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6"/>
        <w:gridCol w:w="1725"/>
        <w:gridCol w:w="1740"/>
        <w:gridCol w:w="8790"/>
        <w:gridCol w:w="1235"/>
      </w:tblGrid>
      <w:tr w:rsidR="008C5238">
        <w:trPr>
          <w:trHeight w:val="651"/>
          <w:jc w:val="center"/>
        </w:trPr>
        <w:tc>
          <w:tcPr>
            <w:tcW w:w="576"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序号</w:t>
            </w:r>
          </w:p>
        </w:tc>
        <w:tc>
          <w:tcPr>
            <w:tcW w:w="172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行政强制措施</w:t>
            </w:r>
          </w:p>
        </w:tc>
        <w:tc>
          <w:tcPr>
            <w:tcW w:w="1740"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不予强制条件</w:t>
            </w:r>
          </w:p>
        </w:tc>
        <w:tc>
          <w:tcPr>
            <w:tcW w:w="8790"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法律依据</w:t>
            </w:r>
          </w:p>
        </w:tc>
        <w:tc>
          <w:tcPr>
            <w:tcW w:w="1235" w:type="dxa"/>
            <w:vAlign w:val="center"/>
          </w:tcPr>
          <w:p w:rsidR="008C5238" w:rsidRDefault="00094AD0">
            <w:pPr>
              <w:overflowPunct w:val="0"/>
              <w:adjustRightInd w:val="0"/>
              <w:snapToGrid w:val="0"/>
              <w:jc w:val="center"/>
              <w:rPr>
                <w:rFonts w:ascii="Times New Roman" w:eastAsia="黑体" w:hAnsi="Times New Roman" w:cs="Times New Roman"/>
                <w:spacing w:val="-4"/>
              </w:rPr>
            </w:pPr>
            <w:r>
              <w:rPr>
                <w:rFonts w:ascii="Times New Roman" w:eastAsia="黑体" w:hAnsi="Times New Roman" w:cs="黑体" w:hint="eastAsia"/>
                <w:spacing w:val="-4"/>
              </w:rPr>
              <w:t>实施主体</w:t>
            </w:r>
          </w:p>
        </w:tc>
      </w:tr>
      <w:tr w:rsidR="008C5238">
        <w:tblPrEx>
          <w:tblCellMar>
            <w:top w:w="15" w:type="dxa"/>
            <w:bottom w:w="15" w:type="dxa"/>
          </w:tblCellMar>
        </w:tblPrEx>
        <w:trPr>
          <w:trHeight w:val="6090"/>
          <w:jc w:val="center"/>
        </w:trPr>
        <w:tc>
          <w:tcPr>
            <w:tcW w:w="576" w:type="dxa"/>
            <w:vAlign w:val="center"/>
          </w:tcPr>
          <w:p w:rsidR="008C5238" w:rsidRDefault="00094AD0">
            <w:pPr>
              <w:overflowPunct w:val="0"/>
              <w:adjustRightInd w:val="0"/>
              <w:snapToGrid w:val="0"/>
              <w:jc w:val="center"/>
              <w:rPr>
                <w:rFonts w:ascii="Times New Roman" w:hAnsi="Times New Roman" w:cs="Times New Roman"/>
                <w:spacing w:val="-4"/>
                <w:kern w:val="0"/>
              </w:rPr>
            </w:pPr>
            <w:r>
              <w:rPr>
                <w:rFonts w:asciiTheme="minorEastAsia" w:eastAsiaTheme="minorEastAsia" w:hAnsiTheme="minorEastAsia" w:cs="宋体"/>
                <w:spacing w:val="-4"/>
                <w:kern w:val="0"/>
              </w:rPr>
              <w:t>1</w:t>
            </w:r>
          </w:p>
        </w:tc>
        <w:tc>
          <w:tcPr>
            <w:tcW w:w="172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对擅自占用道路、人行过街桥、人行地下过街通道、地铁通道以及其他公共场地摆摊设点的兜售的物品及其装盛器具的暂扣</w:t>
            </w:r>
          </w:p>
        </w:tc>
        <w:tc>
          <w:tcPr>
            <w:tcW w:w="1740"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初次违反，违法行为情节显著轻微或者没有明显社会危害的。</w:t>
            </w:r>
          </w:p>
        </w:tc>
        <w:tc>
          <w:tcPr>
            <w:tcW w:w="8790"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【地方性法规】《江苏省城市市容和环境卫生管理条例》</w:t>
            </w:r>
          </w:p>
          <w:p w:rsidR="008C5238" w:rsidRDefault="00094AD0">
            <w:pPr>
              <w:numPr>
                <w:ilvl w:val="0"/>
                <w:numId w:val="1"/>
              </w:num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任何单位和个人不得擅自占用道路、公共广场、人行过街桥、人行地下通道等公共场地摆摊设点，不得擅自占用道路在货运车辆上兜售物品。经批准或者疏导临时占用道路、公共广场或者其他公共场地摆摊设点的，经营者应当按照规定的时间、区域经营并保持场地及周围环境卫生、整洁、有序。</w:t>
            </w:r>
          </w:p>
          <w:p w:rsidR="008C5238" w:rsidRDefault="00094AD0">
            <w:p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spacing w:val="-4"/>
                <w:kern w:val="0"/>
              </w:rPr>
              <w:t>设区的市、县（市、区）、乡镇人民政府应当按照不影响市容环卫、安全、道路通行和方便居民生活的原则，设置餐饮、集市、季节性农副产品销售以及修车、缝补、配锁等摊点疏导点，划定经营区域，明确经营时间、经营范围，根据需要和有关规定配套设置供水、供电和污水、垃圾</w:t>
            </w:r>
            <w:r>
              <w:rPr>
                <w:rFonts w:asciiTheme="minorEastAsia" w:eastAsiaTheme="minorEastAsia" w:hAnsiTheme="minorEastAsia" w:cs="宋体"/>
                <w:spacing w:val="-4"/>
                <w:kern w:val="0"/>
              </w:rPr>
              <w:t>收集等必要设施，确定管理责任人。摊点疏导点的设置应当征求公众意见后确定，并向社会公布。</w:t>
            </w:r>
          </w:p>
          <w:p w:rsidR="008C5238" w:rsidRDefault="00094AD0">
            <w:p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spacing w:val="-4"/>
                <w:kern w:val="0"/>
              </w:rPr>
              <w:t>任何单位和个人不得在所在地人民政府禁止的区域和时段露天烧烤或者为露天烧烤提供场所。</w:t>
            </w:r>
          </w:p>
          <w:p w:rsidR="008C5238" w:rsidRDefault="00094AD0">
            <w:pPr>
              <w:overflowPunct w:val="0"/>
              <w:adjustRightInd w:val="0"/>
              <w:snapToGrid w:val="0"/>
              <w:spacing w:line="360" w:lineRule="exact"/>
              <w:ind w:firstLineChars="200" w:firstLine="404"/>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第六十三条</w:t>
            </w:r>
            <w:r>
              <w:rPr>
                <w:rFonts w:asciiTheme="minorEastAsia" w:eastAsiaTheme="minorEastAsia" w:hAnsiTheme="minorEastAsia" w:cs="宋体" w:hint="eastAsia"/>
                <w:spacing w:val="-4"/>
                <w:kern w:val="0"/>
              </w:rPr>
              <w:t>第六款</w:t>
            </w:r>
            <w:r>
              <w:rPr>
                <w:rFonts w:asciiTheme="minorEastAsia" w:eastAsiaTheme="minorEastAsia" w:hAnsiTheme="minorEastAsia" w:cs="宋体" w:hint="eastAsia"/>
                <w:spacing w:val="-4"/>
                <w:kern w:val="0"/>
              </w:rPr>
              <w:t xml:space="preserve"> </w:t>
            </w:r>
            <w:r>
              <w:rPr>
                <w:rFonts w:asciiTheme="minorEastAsia" w:eastAsiaTheme="minorEastAsia" w:hAnsiTheme="minorEastAsia" w:cs="宋体" w:hint="eastAsia"/>
                <w:spacing w:val="-4"/>
                <w:kern w:val="0"/>
              </w:rPr>
              <w:t>违反本条例规定，有下列行为之一，影响市容的，由设区的市、县（市、区）城市管理主管部门按照以下规定处理：</w:t>
            </w:r>
          </w:p>
          <w:p w:rsidR="008C5238" w:rsidRDefault="00094AD0">
            <w:pPr>
              <w:overflowPunct w:val="0"/>
              <w:adjustRightInd w:val="0"/>
              <w:snapToGrid w:val="0"/>
              <w:spacing w:line="360" w:lineRule="exact"/>
              <w:ind w:firstLineChars="200" w:firstLine="404"/>
              <w:rPr>
                <w:rFonts w:ascii="Helvetica Neue" w:eastAsia="Helvetica Neue" w:hAnsi="Helvetica Neue" w:cs="Helvetica Neue"/>
                <w:color w:val="333333"/>
                <w:shd w:val="clear" w:color="auto" w:fill="FFFFFF"/>
              </w:rPr>
            </w:pPr>
            <w:r>
              <w:rPr>
                <w:rFonts w:asciiTheme="minorEastAsia" w:eastAsiaTheme="minorEastAsia" w:hAnsiTheme="minorEastAsia" w:cs="宋体" w:hint="eastAsia"/>
                <w:spacing w:val="-4"/>
                <w:kern w:val="0"/>
              </w:rPr>
              <w:t>（六）擅自占用道路、公共广场、人行过街桥、人行地下通道以及其他公共场地摆摊设点的，责令停止违法行为；继续违法经营的，可以依法扣押涉案的物品及其装盛器具，处二十元以上二百元以下罚款；擅自占用道路在货运车辆上兜售物品的，处五百元以上五千元以下罚款。依法决定实施扣押的，应当履行法定程序，制作并当场交付扣押决定书和清单。</w:t>
            </w:r>
          </w:p>
        </w:tc>
        <w:tc>
          <w:tcPr>
            <w:tcW w:w="1235" w:type="dxa"/>
            <w:vAlign w:val="center"/>
          </w:tcPr>
          <w:p w:rsidR="008C5238" w:rsidRDefault="00094AD0">
            <w:pPr>
              <w:overflowPunct w:val="0"/>
              <w:adjustRightInd w:val="0"/>
              <w:snapToGrid w:val="0"/>
              <w:spacing w:line="360" w:lineRule="exact"/>
              <w:rPr>
                <w:rFonts w:asciiTheme="minorEastAsia" w:eastAsiaTheme="minorEastAsia" w:hAnsiTheme="minorEastAsia" w:cs="宋体"/>
                <w:spacing w:val="-4"/>
                <w:kern w:val="0"/>
              </w:rPr>
            </w:pPr>
            <w:r>
              <w:rPr>
                <w:rFonts w:asciiTheme="minorEastAsia" w:eastAsiaTheme="minorEastAsia" w:hAnsiTheme="minorEastAsia" w:cs="宋体" w:hint="eastAsia"/>
                <w:spacing w:val="-4"/>
                <w:kern w:val="0"/>
              </w:rPr>
              <w:t>市城管局，县级市、区城管局（综合行政执法局），行使相应行政强制权的镇人民政府（街道办事处）。</w:t>
            </w:r>
          </w:p>
        </w:tc>
      </w:tr>
    </w:tbl>
    <w:p w:rsidR="008C5238" w:rsidRDefault="008C5238">
      <w:pPr>
        <w:widowControl/>
        <w:shd w:val="clear" w:color="auto" w:fill="FFFFFF"/>
        <w:adjustRightInd w:val="0"/>
        <w:spacing w:line="540" w:lineRule="exact"/>
        <w:rPr>
          <w:rFonts w:ascii="Microsoft YaHei UI" w:eastAsia="Microsoft YaHei UI" w:hAnsi="Microsoft YaHei UI" w:cs="Times New Roman"/>
          <w:b/>
          <w:bCs/>
          <w:color w:val="333333"/>
          <w:spacing w:val="8"/>
          <w:kern w:val="0"/>
          <w:sz w:val="26"/>
          <w:szCs w:val="26"/>
        </w:rPr>
      </w:pPr>
    </w:p>
    <w:sectPr w:rsidR="008C5238">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D0" w:rsidRDefault="00094AD0">
      <w:r>
        <w:separator/>
      </w:r>
    </w:p>
  </w:endnote>
  <w:endnote w:type="continuationSeparator" w:id="0">
    <w:p w:rsidR="00094AD0" w:rsidRDefault="0009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font>
  <w:font w:name="Microsoft YaHei UI">
    <w:altName w:val="宋体"/>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38" w:rsidRDefault="00094AD0">
    <w:pPr>
      <w:pStyle w:val="a4"/>
      <w:jc w:val="center"/>
      <w:rPr>
        <w:rFonts w:ascii="Times New Roman" w:hAnsi="Times New Roman" w:cs="Times New Roman"/>
        <w:sz w:val="28"/>
        <w:szCs w:val="28"/>
      </w:rPr>
    </w:pPr>
    <w:r>
      <w:rPr>
        <w:rFonts w:ascii="Times New Roman" w:hAnsi="Times New Roman" w:cs="宋体"/>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52047" w:rsidRPr="00952047">
      <w:rPr>
        <w:rFonts w:ascii="Times New Roman" w:hAnsi="Times New Roman" w:cs="Times New Roman"/>
        <w:noProof/>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宋体"/>
        <w:sz w:val="28"/>
        <w:szCs w:val="28"/>
      </w:rPr>
      <w:t>—</w:t>
    </w:r>
  </w:p>
  <w:p w:rsidR="008C5238" w:rsidRDefault="008C5238">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D0" w:rsidRDefault="00094AD0">
      <w:r>
        <w:separator/>
      </w:r>
    </w:p>
  </w:footnote>
  <w:footnote w:type="continuationSeparator" w:id="0">
    <w:p w:rsidR="00094AD0" w:rsidRDefault="0009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2757"/>
    <w:multiLevelType w:val="singleLevel"/>
    <w:tmpl w:val="66222757"/>
    <w:lvl w:ilvl="0">
      <w:start w:val="19"/>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89"/>
    <w:rsid w:val="0001206D"/>
    <w:rsid w:val="00041A90"/>
    <w:rsid w:val="000549EC"/>
    <w:rsid w:val="00062513"/>
    <w:rsid w:val="00094AD0"/>
    <w:rsid w:val="000C321F"/>
    <w:rsid w:val="000F7B86"/>
    <w:rsid w:val="001203CF"/>
    <w:rsid w:val="00143872"/>
    <w:rsid w:val="001612B8"/>
    <w:rsid w:val="00162FB0"/>
    <w:rsid w:val="001E1F47"/>
    <w:rsid w:val="00235F44"/>
    <w:rsid w:val="002555F1"/>
    <w:rsid w:val="002A628E"/>
    <w:rsid w:val="002B090C"/>
    <w:rsid w:val="002D0776"/>
    <w:rsid w:val="002F73D7"/>
    <w:rsid w:val="00310C56"/>
    <w:rsid w:val="0034198D"/>
    <w:rsid w:val="003B5E13"/>
    <w:rsid w:val="00496316"/>
    <w:rsid w:val="00496882"/>
    <w:rsid w:val="004B1594"/>
    <w:rsid w:val="004C0571"/>
    <w:rsid w:val="004E6DC8"/>
    <w:rsid w:val="005503CF"/>
    <w:rsid w:val="0057403B"/>
    <w:rsid w:val="005929FC"/>
    <w:rsid w:val="005932A5"/>
    <w:rsid w:val="005A05F8"/>
    <w:rsid w:val="005A1EB9"/>
    <w:rsid w:val="005F03D1"/>
    <w:rsid w:val="00602C21"/>
    <w:rsid w:val="006678AD"/>
    <w:rsid w:val="0067340A"/>
    <w:rsid w:val="00682ABB"/>
    <w:rsid w:val="006A584C"/>
    <w:rsid w:val="006B095D"/>
    <w:rsid w:val="006E0741"/>
    <w:rsid w:val="007914B0"/>
    <w:rsid w:val="007A7D15"/>
    <w:rsid w:val="007B2069"/>
    <w:rsid w:val="007F0489"/>
    <w:rsid w:val="007F6B89"/>
    <w:rsid w:val="008467DC"/>
    <w:rsid w:val="008B6870"/>
    <w:rsid w:val="008C5238"/>
    <w:rsid w:val="00912030"/>
    <w:rsid w:val="00920C8A"/>
    <w:rsid w:val="009276F8"/>
    <w:rsid w:val="00952047"/>
    <w:rsid w:val="00956855"/>
    <w:rsid w:val="00956BE0"/>
    <w:rsid w:val="009A2CC1"/>
    <w:rsid w:val="009D35EE"/>
    <w:rsid w:val="009F6435"/>
    <w:rsid w:val="00A0534B"/>
    <w:rsid w:val="00A15292"/>
    <w:rsid w:val="00A8726F"/>
    <w:rsid w:val="00AA3929"/>
    <w:rsid w:val="00AB0F52"/>
    <w:rsid w:val="00AE58CF"/>
    <w:rsid w:val="00B25459"/>
    <w:rsid w:val="00BB4C10"/>
    <w:rsid w:val="00BB6ED3"/>
    <w:rsid w:val="00BD1B8A"/>
    <w:rsid w:val="00BE5EC4"/>
    <w:rsid w:val="00BF473C"/>
    <w:rsid w:val="00BF4E29"/>
    <w:rsid w:val="00C12A30"/>
    <w:rsid w:val="00C45D6C"/>
    <w:rsid w:val="00C55184"/>
    <w:rsid w:val="00CC1B31"/>
    <w:rsid w:val="00CC53B6"/>
    <w:rsid w:val="00CE6D86"/>
    <w:rsid w:val="00D14E61"/>
    <w:rsid w:val="00D2644E"/>
    <w:rsid w:val="00D35E57"/>
    <w:rsid w:val="00D4204E"/>
    <w:rsid w:val="00D431E9"/>
    <w:rsid w:val="00D57828"/>
    <w:rsid w:val="00D95B3D"/>
    <w:rsid w:val="00DB4976"/>
    <w:rsid w:val="00DD1A54"/>
    <w:rsid w:val="00DE16CE"/>
    <w:rsid w:val="00E03F8F"/>
    <w:rsid w:val="00E428D8"/>
    <w:rsid w:val="00E73CA8"/>
    <w:rsid w:val="00E95E03"/>
    <w:rsid w:val="00EF410F"/>
    <w:rsid w:val="00EF5BA4"/>
    <w:rsid w:val="00EF5ED2"/>
    <w:rsid w:val="00F071C9"/>
    <w:rsid w:val="00F235E3"/>
    <w:rsid w:val="00F256A7"/>
    <w:rsid w:val="00F31486"/>
    <w:rsid w:val="00F4632A"/>
    <w:rsid w:val="00FF457C"/>
    <w:rsid w:val="1A8A0617"/>
    <w:rsid w:val="30033D52"/>
    <w:rsid w:val="325057BA"/>
    <w:rsid w:val="332172E4"/>
    <w:rsid w:val="49A84B9B"/>
    <w:rsid w:val="4D593D0E"/>
    <w:rsid w:val="52BD424C"/>
    <w:rsid w:val="57BB2E1D"/>
    <w:rsid w:val="5B453FC7"/>
    <w:rsid w:val="63064B86"/>
    <w:rsid w:val="64AC073A"/>
    <w:rsid w:val="6A99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semiHidden="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Pr>
      <w:b/>
      <w:bCs/>
    </w:rPr>
  </w:style>
  <w:style w:type="character" w:styleId="a8">
    <w:name w:val="Emphasis"/>
    <w:uiPriority w:val="99"/>
    <w:qFormat/>
    <w:rPr>
      <w:i/>
      <w:iCs/>
    </w:rPr>
  </w:style>
  <w:style w:type="character" w:customStyle="1" w:styleId="Char">
    <w:name w:val="批注框文本 Char"/>
    <w:link w:val="a3"/>
    <w:uiPriority w:val="99"/>
    <w:semiHidden/>
    <w:qFormat/>
    <w:locked/>
    <w:rPr>
      <w:sz w:val="18"/>
      <w:szCs w:val="18"/>
    </w:rPr>
  </w:style>
  <w:style w:type="character" w:customStyle="1" w:styleId="Char0">
    <w:name w:val="页脚 Char"/>
    <w:link w:val="a4"/>
    <w:uiPriority w:val="99"/>
    <w:qFormat/>
    <w:locked/>
    <w:rPr>
      <w:sz w:val="18"/>
      <w:szCs w:val="18"/>
    </w:rPr>
  </w:style>
  <w:style w:type="character" w:customStyle="1" w:styleId="Char1">
    <w:name w:val="页眉 Char"/>
    <w:link w:val="a5"/>
    <w:uiPriority w:val="99"/>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semiHidden="0"/>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Pr>
      <w:b/>
      <w:bCs/>
    </w:rPr>
  </w:style>
  <w:style w:type="character" w:styleId="a8">
    <w:name w:val="Emphasis"/>
    <w:uiPriority w:val="99"/>
    <w:qFormat/>
    <w:rPr>
      <w:i/>
      <w:iCs/>
    </w:rPr>
  </w:style>
  <w:style w:type="character" w:customStyle="1" w:styleId="Char">
    <w:name w:val="批注框文本 Char"/>
    <w:link w:val="a3"/>
    <w:uiPriority w:val="99"/>
    <w:semiHidden/>
    <w:qFormat/>
    <w:locked/>
    <w:rPr>
      <w:sz w:val="18"/>
      <w:szCs w:val="18"/>
    </w:rPr>
  </w:style>
  <w:style w:type="character" w:customStyle="1" w:styleId="Char0">
    <w:name w:val="页脚 Char"/>
    <w:link w:val="a4"/>
    <w:uiPriority w:val="99"/>
    <w:qFormat/>
    <w:locked/>
    <w:rPr>
      <w:sz w:val="18"/>
      <w:szCs w:val="18"/>
    </w:rPr>
  </w:style>
  <w:style w:type="character" w:customStyle="1" w:styleId="Char1">
    <w:name w:val="页眉 Char"/>
    <w:link w:val="a5"/>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4398</Characters>
  <Application>Microsoft Office Word</Application>
  <DocSecurity>0</DocSecurity>
  <Lines>36</Lines>
  <Paragraphs>10</Paragraphs>
  <ScaleCrop>false</ScaleCrop>
  <Company>Microsoft</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邹伦</dc:creator>
  <cp:lastModifiedBy>A</cp:lastModifiedBy>
  <cp:revision>11</cp:revision>
  <cp:lastPrinted>2024-03-19T07:08:00Z</cp:lastPrinted>
  <dcterms:created xsi:type="dcterms:W3CDTF">2024-03-19T06:58:00Z</dcterms:created>
  <dcterms:modified xsi:type="dcterms:W3CDTF">2024-04-19T08:40:00Z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0D29C734E7664518A39DDE5482F96BB3</vt:lpwstr>
  </property>
</Properties>
</file>