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DC080">
      <w:pPr>
        <w:spacing w:line="600" w:lineRule="exact"/>
        <w:jc w:val="center"/>
        <w:rPr>
          <w:rFonts w:ascii="Times New Roman" w:hAnsi="Times New Roman" w:eastAsia="方正小标宋简体"/>
          <w:sz w:val="44"/>
          <w:szCs w:val="44"/>
        </w:rPr>
      </w:pPr>
    </w:p>
    <w:p w14:paraId="548753C7">
      <w:pPr>
        <w:spacing w:line="600"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苏州市城市管理局2025年度法治政府</w:t>
      </w:r>
    </w:p>
    <w:p w14:paraId="43D2D692">
      <w:pPr>
        <w:spacing w:line="600" w:lineRule="exact"/>
        <w:jc w:val="center"/>
        <w:rPr>
          <w:rFonts w:hint="eastAsia" w:ascii="Times New Roman" w:hAnsi="Times New Roman" w:eastAsia="方正小标宋简体"/>
          <w:sz w:val="44"/>
          <w:szCs w:val="44"/>
        </w:rPr>
      </w:pPr>
      <w:r>
        <w:rPr>
          <w:rFonts w:hint="eastAsia" w:ascii="Times New Roman" w:hAnsi="Times New Roman" w:eastAsia="方正小标宋简体"/>
          <w:sz w:val="44"/>
          <w:szCs w:val="44"/>
        </w:rPr>
        <w:t>建设情况报告</w:t>
      </w:r>
    </w:p>
    <w:p w14:paraId="153A948B">
      <w:pPr>
        <w:spacing w:line="600" w:lineRule="exact"/>
        <w:jc w:val="center"/>
        <w:rPr>
          <w:rFonts w:ascii="楷体_GB2312" w:hAnsi="楷体_GB2312" w:eastAsia="楷体_GB2312" w:cs="楷体_GB2312"/>
          <w:sz w:val="32"/>
          <w:szCs w:val="32"/>
        </w:rPr>
      </w:pPr>
    </w:p>
    <w:p w14:paraId="75F0769B">
      <w:pPr>
        <w:spacing w:line="600" w:lineRule="exact"/>
        <w:ind w:firstLine="640" w:firstLineChars="200"/>
        <w:rPr>
          <w:rFonts w:hint="eastAsia" w:ascii="仿宋_GB2312" w:hAnsi="黑体" w:eastAsia="仿宋_GB2312"/>
          <w:sz w:val="32"/>
          <w:szCs w:val="32"/>
        </w:rPr>
      </w:pPr>
      <w:r>
        <w:rPr>
          <w:rFonts w:hint="default" w:ascii="仿宋_GB2312" w:hAnsi="黑体" w:eastAsia="仿宋_GB2312"/>
          <w:sz w:val="32"/>
          <w:szCs w:val="32"/>
        </w:rPr>
        <w:t>2025年，</w:t>
      </w:r>
      <w:r>
        <w:rPr>
          <w:rFonts w:hint="eastAsia" w:ascii="仿宋_GB2312" w:hAnsi="黑体" w:eastAsia="仿宋_GB2312"/>
          <w:sz w:val="32"/>
          <w:szCs w:val="32"/>
          <w:lang w:val="en-US" w:eastAsia="zh-CN"/>
        </w:rPr>
        <w:t>苏州</w:t>
      </w:r>
      <w:r>
        <w:rPr>
          <w:rFonts w:hint="default" w:ascii="仿宋_GB2312" w:hAnsi="黑体" w:eastAsia="仿宋_GB2312"/>
          <w:sz w:val="32"/>
          <w:szCs w:val="32"/>
        </w:rPr>
        <w:t>市城市管理</w:t>
      </w:r>
      <w:r>
        <w:rPr>
          <w:rFonts w:hint="eastAsia" w:ascii="仿宋_GB2312" w:hAnsi="黑体" w:eastAsia="仿宋_GB2312"/>
          <w:sz w:val="32"/>
          <w:szCs w:val="32"/>
          <w:lang w:val="en-US" w:eastAsia="zh-CN"/>
        </w:rPr>
        <w:t>局</w:t>
      </w:r>
      <w:r>
        <w:rPr>
          <w:rFonts w:hint="default" w:ascii="仿宋_GB2312" w:hAnsi="黑体" w:eastAsia="仿宋_GB2312"/>
          <w:sz w:val="32"/>
          <w:szCs w:val="32"/>
        </w:rPr>
        <w:t>以习近平新时代中国特色社会主义思想为指导，全面贯彻党的二十大精神，紧扣法治政府建设要求，聚焦执法规范化、管理精细化、服务智能化，推动各项工作取得显著成效。</w:t>
      </w:r>
    </w:p>
    <w:p w14:paraId="38BC7E7C">
      <w:pPr>
        <w:spacing w:line="600" w:lineRule="exact"/>
        <w:ind w:firstLine="640" w:firstLineChars="200"/>
        <w:jc w:val="left"/>
        <w:rPr>
          <w:rFonts w:ascii="黑体" w:hAnsi="黑体" w:eastAsia="黑体" w:cs="黑体"/>
          <w:bCs/>
          <w:sz w:val="32"/>
          <w:szCs w:val="32"/>
        </w:rPr>
      </w:pPr>
      <w:r>
        <w:rPr>
          <w:rFonts w:hint="eastAsia" w:ascii="黑体" w:hAnsi="黑体" w:eastAsia="黑体" w:cs="黑体"/>
          <w:bCs/>
          <w:sz w:val="32"/>
          <w:szCs w:val="32"/>
        </w:rPr>
        <w:t>一、加强党建引领，夯实主体责任</w:t>
      </w:r>
    </w:p>
    <w:p w14:paraId="52556D18">
      <w:pPr>
        <w:spacing w:line="600" w:lineRule="exact"/>
        <w:ind w:firstLine="640" w:firstLineChars="200"/>
      </w:pPr>
      <w:r>
        <w:rPr>
          <w:rFonts w:hint="eastAsia" w:ascii="楷体_GB2312" w:hAnsi="楷体_GB2312" w:eastAsia="楷体_GB2312" w:cs="楷体_GB2312"/>
          <w:kern w:val="2"/>
          <w:sz w:val="32"/>
          <w:szCs w:val="32"/>
          <w:lang w:val="en-US" w:eastAsia="zh-CN" w:bidi="ar-SA"/>
        </w:rPr>
        <w:t>（一）落实法治建设第一责任人职责</w:t>
      </w:r>
    </w:p>
    <w:p w14:paraId="1A0D39C9">
      <w:pPr>
        <w:spacing w:line="600" w:lineRule="exact"/>
        <w:ind w:firstLine="640" w:firstLineChars="200"/>
        <w:rPr>
          <w:rFonts w:hint="eastAsia" w:ascii="仿宋_GB2312" w:hAnsi="Times New Roman" w:eastAsia="仿宋_GB2312"/>
          <w:sz w:val="32"/>
          <w:szCs w:val="32"/>
        </w:rPr>
      </w:pPr>
      <w:r>
        <w:rPr>
          <w:rFonts w:hint="eastAsia" w:ascii="仿宋_GB2312" w:eastAsia="仿宋_GB2312"/>
          <w:b w:val="0"/>
          <w:bCs w:val="0"/>
          <w:sz w:val="32"/>
          <w:szCs w:val="32"/>
        </w:rPr>
        <w:t>全面</w:t>
      </w:r>
      <w:r>
        <w:rPr>
          <w:rFonts w:hint="eastAsia" w:ascii="仿宋_GB2312" w:eastAsia="仿宋_GB2312"/>
          <w:sz w:val="32"/>
          <w:szCs w:val="32"/>
        </w:rPr>
        <w:t>贯彻落实《党政主要负责人履行推进法治建设第一责任人职责规定》。</w:t>
      </w:r>
      <w:r>
        <w:rPr>
          <w:rFonts w:hint="eastAsia" w:ascii="仿宋_GB2312" w:hAnsi="Times New Roman" w:eastAsia="仿宋_GB2312"/>
          <w:sz w:val="32"/>
          <w:szCs w:val="32"/>
        </w:rPr>
        <w:t>党政主要领导对法治建设重要工作亲自部署、重大问题亲自过问、重点环节亲自协调、重要任务亲自督办，切实履行法治建设重要组织者、推动者和实践者的职能。</w:t>
      </w:r>
    </w:p>
    <w:p w14:paraId="3451FAEB">
      <w:pPr>
        <w:spacing w:line="600" w:lineRule="exact"/>
        <w:ind w:firstLine="640" w:firstLineChars="200"/>
      </w:pPr>
      <w:r>
        <w:rPr>
          <w:rFonts w:hint="eastAsia" w:ascii="楷体_GB2312" w:hAnsi="楷体_GB2312" w:eastAsia="楷体_GB2312" w:cs="楷体_GB2312"/>
          <w:kern w:val="2"/>
          <w:sz w:val="32"/>
          <w:szCs w:val="32"/>
          <w:lang w:val="en-US" w:eastAsia="zh-CN" w:bidi="ar-SA"/>
        </w:rPr>
        <w:t>（二）领导干部带头学法用法</w:t>
      </w:r>
    </w:p>
    <w:p w14:paraId="2DE98560">
      <w:pPr>
        <w:spacing w:line="600" w:lineRule="exact"/>
        <w:ind w:firstLine="640" w:firstLineChars="200"/>
        <w:rPr>
          <w:rFonts w:hint="eastAsia" w:ascii="仿宋_GB2312" w:hAnsi="黑体" w:eastAsia="仿宋_GB2312"/>
          <w:sz w:val="32"/>
          <w:szCs w:val="32"/>
        </w:rPr>
      </w:pPr>
      <w:r>
        <w:rPr>
          <w:rFonts w:hint="default" w:ascii="Times New Roman" w:hAnsi="Times New Roman" w:eastAsia="仿宋_GB2312" w:cs="Times New Roman"/>
          <w:sz w:val="32"/>
          <w:szCs w:val="32"/>
          <w:lang w:val="en-US" w:eastAsia="zh-CN"/>
        </w:rPr>
        <w:t>局党组中心组</w:t>
      </w:r>
      <w:r>
        <w:rPr>
          <w:rFonts w:hint="default" w:ascii="仿宋_GB2312" w:hAnsi="黑体" w:eastAsia="仿宋_GB2312"/>
          <w:sz w:val="32"/>
          <w:szCs w:val="32"/>
        </w:rPr>
        <w:t>专题研究法治工作4次，</w:t>
      </w:r>
      <w:r>
        <w:rPr>
          <w:rFonts w:hint="default" w:ascii="Times New Roman" w:hAnsi="Times New Roman" w:eastAsia="仿宋_GB2312" w:cs="Times New Roman"/>
          <w:sz w:val="32"/>
          <w:szCs w:val="32"/>
          <w:lang w:val="en-US" w:eastAsia="zh-CN"/>
        </w:rPr>
        <w:t>专题学习《江苏省行政规范性文件管理规定》《苏州市行政规范性文件制定和监督管理规定》</w:t>
      </w:r>
      <w:r>
        <w:rPr>
          <w:rFonts w:hint="eastAsia" w:ascii="Times New Roman" w:hAnsi="Times New Roman" w:eastAsia="仿宋_GB2312" w:cs="Times New Roman"/>
          <w:sz w:val="32"/>
          <w:szCs w:val="32"/>
          <w:lang w:val="en-US" w:eastAsia="zh-CN"/>
        </w:rPr>
        <w:t>，</w:t>
      </w:r>
      <w:r>
        <w:rPr>
          <w:rFonts w:hint="default" w:ascii="仿宋_GB2312" w:hAnsi="黑体" w:eastAsia="仿宋_GB2312"/>
          <w:sz w:val="32"/>
          <w:szCs w:val="32"/>
        </w:rPr>
        <w:t>推动班子成员增强法治思维</w:t>
      </w:r>
      <w:r>
        <w:rPr>
          <w:rFonts w:hint="default" w:ascii="Times New Roman" w:hAnsi="Times New Roman" w:eastAsia="仿宋_GB2312" w:cs="Times New Roman"/>
          <w:sz w:val="32"/>
          <w:szCs w:val="32"/>
          <w:lang w:val="en-US" w:eastAsia="zh-CN"/>
        </w:rPr>
        <w:t>。</w:t>
      </w:r>
      <w:r>
        <w:rPr>
          <w:rFonts w:hint="default" w:ascii="仿宋_GB2312" w:hAnsi="黑体" w:eastAsia="仿宋_GB2312"/>
          <w:sz w:val="32"/>
          <w:szCs w:val="32"/>
        </w:rPr>
        <w:t>举办“法治开讲”活动，讲授《行政执法办案中的时限问题》，提升全员法治素养。</w:t>
      </w:r>
    </w:p>
    <w:p w14:paraId="3C51C78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pPr>
      <w:r>
        <w:rPr>
          <w:rFonts w:hint="default" w:ascii="Times New Roman" w:hAnsi="Times New Roman" w:eastAsia="楷体_GB2312" w:cs="Times New Roman"/>
          <w:b w:val="0"/>
          <w:bCs w:val="0"/>
          <w:color w:val="auto"/>
          <w:spacing w:val="0"/>
          <w:kern w:val="2"/>
          <w:sz w:val="32"/>
          <w:szCs w:val="32"/>
          <w:lang w:val="en-US" w:eastAsia="zh-CN" w:bidi="ar-SA"/>
        </w:rPr>
        <w:t>（三）提升职工学法用法能力</w:t>
      </w:r>
    </w:p>
    <w:p w14:paraId="5A4A2CA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仿宋_GB2312" w:eastAsia="仿宋_GB2312"/>
          <w:sz w:val="32"/>
          <w:szCs w:val="32"/>
        </w:rPr>
      </w:pPr>
      <w:r>
        <w:rPr>
          <w:rFonts w:hint="default" w:ascii="Times New Roman" w:hAnsi="Times New Roman" w:eastAsia="仿宋_GB2312" w:cs="Times New Roman"/>
          <w:sz w:val="32"/>
          <w:szCs w:val="32"/>
          <w:lang w:val="en-US" w:eastAsia="zh-CN"/>
        </w:rPr>
        <w:t>召开法治工作例会，组织各板块法治骨干，就当前时期</w:t>
      </w:r>
      <w:r>
        <w:rPr>
          <w:rFonts w:hint="default" w:ascii="Times New Roman" w:hAnsi="Times New Roman" w:eastAsia="仿宋_GB2312" w:cs="Times New Roman"/>
          <w:sz w:val="32"/>
          <w:szCs w:val="32"/>
          <w:lang w:eastAsia="zh-CN"/>
        </w:rPr>
        <w:t>疑难复杂案件、法律适用争议等</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eastAsia="zh-CN"/>
        </w:rPr>
        <w:t>余项议题开展集中研讨，形成统一指导意见。</w:t>
      </w:r>
      <w:r>
        <w:rPr>
          <w:rFonts w:hint="default" w:ascii="Times New Roman" w:hAnsi="Times New Roman" w:eastAsia="仿宋_GB2312" w:cs="Times New Roman"/>
          <w:sz w:val="32"/>
          <w:szCs w:val="32"/>
          <w:lang w:val="en-US" w:eastAsia="zh-CN"/>
        </w:rPr>
        <w:t>举办2025年苏州城市管理法治骨干培训班</w:t>
      </w:r>
      <w:r>
        <w:rPr>
          <w:rFonts w:hint="eastAsia" w:ascii="Times New Roman" w:hAnsi="Times New Roman" w:eastAsia="仿宋_GB2312" w:cs="Times New Roman"/>
          <w:sz w:val="32"/>
          <w:szCs w:val="32"/>
          <w:lang w:val="en-US" w:eastAsia="zh-CN"/>
        </w:rPr>
        <w:t>，</w:t>
      </w:r>
      <w:r>
        <w:rPr>
          <w:rFonts w:hint="eastAsia" w:ascii="仿宋_GB2312" w:eastAsia="仿宋_GB2312"/>
          <w:sz w:val="32"/>
          <w:szCs w:val="32"/>
        </w:rPr>
        <w:t>组织全市城管</w:t>
      </w:r>
      <w:r>
        <w:rPr>
          <w:rFonts w:hint="eastAsia" w:ascii="仿宋_GB2312" w:eastAsia="仿宋_GB2312"/>
          <w:sz w:val="32"/>
          <w:szCs w:val="32"/>
          <w:lang w:val="en-US" w:eastAsia="zh-CN"/>
        </w:rPr>
        <w:t>法治分管领导</w:t>
      </w:r>
      <w:r>
        <w:rPr>
          <w:rFonts w:hint="eastAsia" w:ascii="仿宋_GB2312" w:eastAsia="仿宋_GB2312"/>
          <w:sz w:val="32"/>
          <w:szCs w:val="32"/>
        </w:rPr>
        <w:t>、法治骨干培训，</w:t>
      </w:r>
      <w:r>
        <w:rPr>
          <w:rFonts w:hint="eastAsia" w:ascii="仿宋_GB2312" w:hAnsi="宋体" w:eastAsia="仿宋_GB2312" w:cs="宋体"/>
          <w:kern w:val="0"/>
          <w:sz w:val="32"/>
          <w:szCs w:val="32"/>
        </w:rPr>
        <w:t>为全面推进法治苏州建设打下坚实基础。</w:t>
      </w:r>
    </w:p>
    <w:p w14:paraId="62EE6250">
      <w:pPr>
        <w:spacing w:line="600" w:lineRule="exact"/>
        <w:ind w:firstLine="640" w:firstLineChars="200"/>
        <w:rPr>
          <w:rFonts w:hint="eastAsia" w:ascii="仿宋_GB2312" w:hAnsi="黑体" w:eastAsia="仿宋_GB2312"/>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健全法规体系，夯实法治基础</w:t>
      </w:r>
    </w:p>
    <w:p w14:paraId="0AD885F6">
      <w:pPr>
        <w:spacing w:line="600" w:lineRule="exact"/>
        <w:ind w:firstLine="640" w:firstLineChars="200"/>
      </w:pPr>
      <w:r>
        <w:rPr>
          <w:rFonts w:hint="eastAsia" w:ascii="楷体_GB2312" w:hAnsi="楷体_GB2312" w:eastAsia="楷体_GB2312" w:cs="楷体_GB2312"/>
          <w:kern w:val="2"/>
          <w:sz w:val="32"/>
          <w:szCs w:val="32"/>
          <w:lang w:val="en-US" w:eastAsia="zh-CN" w:bidi="ar-SA"/>
        </w:rPr>
        <w:t>（一）推进立法与制度体系建设</w:t>
      </w:r>
    </w:p>
    <w:p w14:paraId="128620F7">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积极推进立法储备，《苏州市建筑垃圾管理条例》申报市人大2026年立法计划；完成《苏州市户外广告设施管理办法》立法后评估、《苏州市生活垃圾分类促进办法》废止后评估</w:t>
      </w:r>
      <w:r>
        <w:rPr>
          <w:rFonts w:hint="eastAsia"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梳理21部市政府规章和规范性文件，废止4部、修改1部，更新效力台账；修订印发《苏州市城市管理系统行政处罚裁量基准》《苏州市环卫信用信息管理办法》，为城市管理提供坚实法治支撑。</w:t>
      </w:r>
    </w:p>
    <w:p w14:paraId="48C4F563">
      <w:pPr>
        <w:spacing w:line="600" w:lineRule="exact"/>
        <w:ind w:firstLine="640" w:firstLineChars="200"/>
      </w:pPr>
      <w:r>
        <w:rPr>
          <w:rFonts w:hint="eastAsia" w:ascii="楷体_GB2312" w:hAnsi="楷体_GB2312" w:eastAsia="楷体_GB2312" w:cs="楷体_GB2312"/>
          <w:kern w:val="2"/>
          <w:sz w:val="32"/>
          <w:szCs w:val="32"/>
          <w:lang w:val="en-US" w:eastAsia="zh-CN" w:bidi="ar-SA"/>
        </w:rPr>
        <w:t>（二）构建执法监督全链条体系</w:t>
      </w:r>
    </w:p>
    <w:p w14:paraId="7B2DBD0B">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出台《苏州城市管理综合行政执法监督管理办法（试行）》，</w:t>
      </w:r>
      <w:r>
        <w:rPr>
          <w:rFonts w:hint="default" w:ascii="Times New Roman" w:hAnsi="Times New Roman" w:eastAsia="仿宋_GB2312" w:cs="Times New Roman"/>
          <w:sz w:val="32"/>
          <w:szCs w:val="32"/>
        </w:rPr>
        <w:t>构建“监督范围—监督方式—监督措施—监督实施—监督责任”的全链条制度体系，确保从事前预警、事中跟进到事后评估全流程可控、可查、可纠。</w:t>
      </w:r>
    </w:p>
    <w:p w14:paraId="2287D376">
      <w:pPr>
        <w:spacing w:line="600" w:lineRule="exact"/>
        <w:ind w:firstLine="640" w:firstLineChars="200"/>
      </w:pPr>
      <w:r>
        <w:rPr>
          <w:rFonts w:hint="eastAsia" w:ascii="楷体_GB2312" w:hAnsi="楷体_GB2312" w:eastAsia="楷体_GB2312" w:cs="楷体_GB2312"/>
          <w:kern w:val="2"/>
          <w:sz w:val="32"/>
          <w:szCs w:val="32"/>
          <w:lang w:val="en-US" w:eastAsia="zh-CN" w:bidi="ar-SA"/>
        </w:rPr>
        <w:t>（三）强化法治审核与复议应诉</w:t>
      </w:r>
    </w:p>
    <w:p w14:paraId="297B2CEB">
      <w:pPr>
        <w:spacing w:line="600" w:lineRule="exact"/>
        <w:ind w:firstLine="640" w:firstLineChars="200"/>
        <w:rPr>
          <w:rFonts w:hint="eastAsia" w:ascii="仿宋_GB2312" w:hAnsi="黑体" w:eastAsia="仿宋_GB2312"/>
          <w:sz w:val="32"/>
          <w:szCs w:val="32"/>
        </w:rPr>
      </w:pPr>
      <w:r>
        <w:rPr>
          <w:rFonts w:hint="default" w:ascii="Times New Roman" w:hAnsi="Times New Roman" w:eastAsia="仿宋_GB2312" w:cs="Times New Roman"/>
          <w:sz w:val="32"/>
          <w:szCs w:val="32"/>
        </w:rPr>
        <w:t>抓好复议应诉工作，配合司法机关做好笔录、调解等工作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highlight w:val="none"/>
          <w:lang w:val="en-US" w:eastAsia="zh-CN"/>
        </w:rPr>
        <w:t>2025年</w:t>
      </w:r>
      <w:r>
        <w:rPr>
          <w:rFonts w:hint="default" w:ascii="Times New Roman" w:hAnsi="Times New Roman" w:eastAsia="仿宋_GB2312" w:cs="Times New Roman"/>
          <w:sz w:val="32"/>
          <w:szCs w:val="32"/>
          <w:highlight w:val="none"/>
        </w:rPr>
        <w:t>共审查合同28份，提供各类法律咨询24次，出具法律意见书19份，合法性审查12次，公平</w:t>
      </w:r>
      <w:bookmarkStart w:id="0" w:name="_GoBack"/>
      <w:bookmarkEnd w:id="0"/>
      <w:r>
        <w:rPr>
          <w:rFonts w:hint="default" w:ascii="Times New Roman" w:hAnsi="Times New Roman" w:eastAsia="仿宋_GB2312" w:cs="Times New Roman"/>
          <w:sz w:val="32"/>
          <w:szCs w:val="32"/>
          <w:highlight w:val="none"/>
        </w:rPr>
        <w:t>竞争性审查7次</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lang w:val="en-US" w:eastAsia="zh-CN"/>
        </w:rPr>
        <w:t>起草《2024年苏州市城市管理领域行政复议诉讼案件情况研判报告》，对苏州市城市管理领域2024年行政复议和行政诉讼案件进行分析总结,为提升城市管理工作提供参考。</w:t>
      </w:r>
    </w:p>
    <w:p w14:paraId="43486B49">
      <w:pPr>
        <w:spacing w:line="600" w:lineRule="exact"/>
        <w:ind w:firstLine="640" w:firstLineChars="200"/>
        <w:rPr>
          <w:rFonts w:hint="eastAsia" w:ascii="仿宋_GB2312" w:hAnsi="黑体" w:eastAsia="仿宋_GB2312"/>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lang w:eastAsia="zh-CN"/>
        </w:rPr>
        <w:t>、</w:t>
      </w:r>
      <w:r>
        <w:rPr>
          <w:rFonts w:hint="eastAsia" w:ascii="黑体" w:hAnsi="黑体" w:eastAsia="黑体" w:cs="黑体"/>
          <w:sz w:val="32"/>
          <w:szCs w:val="32"/>
        </w:rPr>
        <w:t>强化队伍建设，提升</w:t>
      </w:r>
      <w:r>
        <w:rPr>
          <w:rFonts w:hint="eastAsia" w:ascii="黑体" w:hAnsi="黑体" w:eastAsia="黑体" w:cs="黑体"/>
          <w:sz w:val="32"/>
          <w:szCs w:val="32"/>
          <w:lang w:val="en-US" w:eastAsia="zh-CN"/>
        </w:rPr>
        <w:t>法治</w:t>
      </w:r>
      <w:r>
        <w:rPr>
          <w:rFonts w:hint="eastAsia" w:ascii="黑体" w:hAnsi="黑体" w:eastAsia="黑体" w:cs="黑体"/>
          <w:sz w:val="32"/>
          <w:szCs w:val="32"/>
        </w:rPr>
        <w:t>能力</w:t>
      </w:r>
    </w:p>
    <w:p w14:paraId="6E48F67C">
      <w:pPr>
        <w:spacing w:line="600" w:lineRule="exact"/>
        <w:ind w:firstLine="640" w:firstLineChars="200"/>
      </w:pPr>
      <w:r>
        <w:rPr>
          <w:rFonts w:hint="eastAsia" w:ascii="楷体_GB2312" w:hAnsi="楷体_GB2312" w:eastAsia="楷体_GB2312" w:cs="楷体_GB2312"/>
          <w:kern w:val="2"/>
          <w:sz w:val="32"/>
          <w:szCs w:val="32"/>
          <w:lang w:val="en-US" w:eastAsia="zh-CN" w:bidi="ar-SA"/>
        </w:rPr>
        <w:t>（一）深化正风肃纪与警示教育</w:t>
      </w:r>
    </w:p>
    <w:p w14:paraId="58D74A74">
      <w:pPr>
        <w:spacing w:line="600" w:lineRule="exact"/>
        <w:ind w:firstLine="640" w:firstLineChars="200"/>
        <w:rPr>
          <w:rFonts w:hint="eastAsia" w:ascii="仿宋_GB2312" w:hAnsi="黑体" w:eastAsia="仿宋_GB2312"/>
          <w:sz w:val="32"/>
          <w:szCs w:val="32"/>
        </w:rPr>
      </w:pPr>
      <w:r>
        <w:rPr>
          <w:rFonts w:hint="default" w:ascii="仿宋_GB2312" w:hAnsi="黑体" w:eastAsia="仿宋_GB2312"/>
          <w:sz w:val="32"/>
          <w:szCs w:val="32"/>
        </w:rPr>
        <w:t>以城管领域负面舆情和典型案例为素材制作警示教育片，通过“送课下基层”覆盖市、县、镇三级执法人员、辅助人员及第三方人员，筑牢拒腐防变防线。开展干部不担当不作为问题排查，强化第三方服务人员“三同管理”，清理含“执法”“检查”等违规内容的协议。</w:t>
      </w:r>
    </w:p>
    <w:p w14:paraId="434B7733">
      <w:pPr>
        <w:spacing w:line="600" w:lineRule="exact"/>
        <w:ind w:firstLine="640" w:firstLineChars="200"/>
      </w:pPr>
      <w:r>
        <w:rPr>
          <w:rFonts w:hint="eastAsia" w:ascii="楷体_GB2312" w:hAnsi="楷体_GB2312" w:eastAsia="楷体_GB2312" w:cs="楷体_GB2312"/>
          <w:kern w:val="2"/>
          <w:sz w:val="32"/>
          <w:szCs w:val="32"/>
          <w:lang w:val="en-US" w:eastAsia="zh-CN" w:bidi="ar-SA"/>
        </w:rPr>
        <w:t>（二）强化能力提升与实战练兵</w:t>
      </w:r>
    </w:p>
    <w:p w14:paraId="2F386147">
      <w:pPr>
        <w:spacing w:line="600" w:lineRule="exact"/>
        <w:ind w:firstLine="640" w:firstLineChars="200"/>
        <w:rPr>
          <w:rFonts w:hint="eastAsia" w:ascii="仿宋_GB2312" w:hAnsi="黑体" w:eastAsia="仿宋_GB2312"/>
          <w:sz w:val="32"/>
          <w:szCs w:val="32"/>
        </w:rPr>
      </w:pPr>
      <w:r>
        <w:rPr>
          <w:rFonts w:hint="default" w:ascii="仿宋_GB2312" w:hAnsi="黑体" w:eastAsia="仿宋_GB2312"/>
          <w:sz w:val="32"/>
          <w:szCs w:val="32"/>
        </w:rPr>
        <w:t>印发分层分级培训指引，开展各类培训175场次，参训1.9万余人次；举办全市首届城管执法岗位技能大赛，获长三角城市管理实务技能比武团体二等奖。针对涉流动摊点群体性事件，制定全链条处置指引，组织典型案例复盘，提升基层“敢作为、善作为”能力。</w:t>
      </w:r>
    </w:p>
    <w:p w14:paraId="5BE06208">
      <w:pPr>
        <w:spacing w:line="600" w:lineRule="exact"/>
        <w:ind w:firstLine="640" w:firstLineChars="200"/>
      </w:pPr>
      <w:r>
        <w:rPr>
          <w:rFonts w:hint="eastAsia" w:ascii="楷体_GB2312" w:hAnsi="楷体_GB2312" w:eastAsia="楷体_GB2312" w:cs="楷体_GB2312"/>
          <w:kern w:val="2"/>
          <w:sz w:val="32"/>
          <w:szCs w:val="32"/>
          <w:lang w:val="en-US" w:eastAsia="zh-CN" w:bidi="ar-SA"/>
        </w:rPr>
        <w:t>（三）推进队伍规范化管理</w:t>
      </w:r>
    </w:p>
    <w:p w14:paraId="2A5A8E3C">
      <w:pPr>
        <w:spacing w:line="600" w:lineRule="exact"/>
        <w:ind w:firstLine="640" w:firstLineChars="200"/>
        <w:rPr>
          <w:rFonts w:hint="default" w:ascii="Times New Roman" w:hAnsi="Times New Roman" w:eastAsia="仿宋_GB2312" w:cs="Times New Roman"/>
          <w:sz w:val="32"/>
          <w:szCs w:val="32"/>
        </w:rPr>
      </w:pPr>
      <w:r>
        <w:rPr>
          <w:rFonts w:hint="default" w:ascii="仿宋_GB2312" w:hAnsi="黑体" w:eastAsia="仿宋_GB2312"/>
          <w:sz w:val="32"/>
          <w:szCs w:val="32"/>
        </w:rPr>
        <w:t>开展队伍纠察，聚焦着装、执法记录仪使用等基础环节</w:t>
      </w:r>
      <w:r>
        <w:rPr>
          <w:rFonts w:hint="eastAsia" w:ascii="仿宋_GB2312" w:hAnsi="黑体" w:eastAsia="仿宋_GB2312"/>
          <w:sz w:val="32"/>
          <w:szCs w:val="32"/>
          <w:lang w:eastAsia="zh-CN"/>
        </w:rPr>
        <w:t>。</w:t>
      </w:r>
      <w:r>
        <w:rPr>
          <w:rFonts w:hint="default" w:ascii="仿宋_GB2312" w:hAnsi="黑体" w:eastAsia="仿宋_GB2312"/>
          <w:sz w:val="32"/>
          <w:szCs w:val="32"/>
        </w:rPr>
        <w:t>推行“伴随式执法监督”，选派市级人员下沉街镇，</w:t>
      </w:r>
      <w:r>
        <w:rPr>
          <w:rFonts w:hint="default" w:ascii="Times New Roman" w:hAnsi="Times New Roman" w:eastAsia="仿宋_GB2312" w:cs="Times New Roman"/>
          <w:sz w:val="32"/>
          <w:szCs w:val="32"/>
        </w:rPr>
        <w:t>全过程参与执法办案，将监督嵌入执法立案、调查、决定、执行各环节，推动监督从“事后纠偏”走向“实时校正”，实现监督与执法双向融合。</w:t>
      </w:r>
    </w:p>
    <w:p w14:paraId="134EF592">
      <w:pPr>
        <w:spacing w:line="600" w:lineRule="exact"/>
        <w:ind w:firstLine="640" w:firstLineChars="200"/>
      </w:pPr>
      <w:r>
        <w:rPr>
          <w:rFonts w:hint="eastAsia" w:ascii="黑体" w:hAnsi="黑体" w:eastAsia="黑体" w:cs="黑体"/>
          <w:kern w:val="2"/>
          <w:sz w:val="32"/>
          <w:szCs w:val="32"/>
          <w:lang w:val="en-US" w:eastAsia="zh-CN" w:bidi="ar-SA"/>
        </w:rPr>
        <w:t>四、聚焦重点领域，提升执法效能</w:t>
      </w:r>
    </w:p>
    <w:p w14:paraId="539F364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pPr>
      <w:r>
        <w:rPr>
          <w:rFonts w:hint="default" w:ascii="Times New Roman" w:hAnsi="Times New Roman" w:eastAsia="楷体_GB2312" w:cs="Times New Roman"/>
          <w:b w:val="0"/>
          <w:bCs w:val="0"/>
          <w:color w:val="auto"/>
          <w:spacing w:val="0"/>
          <w:kern w:val="2"/>
          <w:sz w:val="32"/>
          <w:szCs w:val="32"/>
          <w:lang w:val="en-US" w:eastAsia="zh-CN" w:bidi="ar-SA"/>
        </w:rPr>
        <w:t>（一）护航垃圾分类精细管理</w:t>
      </w:r>
    </w:p>
    <w:p w14:paraId="1D0F465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spacing w:val="0"/>
          <w:kern w:val="2"/>
          <w:sz w:val="32"/>
          <w:szCs w:val="32"/>
          <w:lang w:val="en-US" w:eastAsia="zh-CN" w:bidi="ar-SA"/>
        </w:rPr>
      </w:pPr>
      <w:r>
        <w:rPr>
          <w:rFonts w:hint="default" w:ascii="Times New Roman" w:hAnsi="Times New Roman" w:eastAsia="仿宋_GB2312" w:cs="Times New Roman"/>
          <w:spacing w:val="0"/>
          <w:kern w:val="2"/>
          <w:sz w:val="32"/>
          <w:szCs w:val="32"/>
          <w:lang w:val="en-US" w:eastAsia="zh-CN" w:bidi="ar-SA"/>
        </w:rPr>
        <w:t>强化常态检查，对全市居民小区及三类场所生活垃圾分类情况落实靶向检查，发现</w:t>
      </w:r>
      <w:r>
        <w:rPr>
          <w:rFonts w:hint="eastAsia" w:ascii="Times New Roman" w:hAnsi="Times New Roman" w:eastAsia="仿宋_GB2312" w:cs="Times New Roman"/>
          <w:spacing w:val="0"/>
          <w:kern w:val="2"/>
          <w:sz w:val="32"/>
          <w:szCs w:val="32"/>
          <w:lang w:val="en-US" w:eastAsia="zh-CN" w:bidi="ar-SA"/>
        </w:rPr>
        <w:t>问题</w:t>
      </w:r>
      <w:r>
        <w:rPr>
          <w:rFonts w:hint="default" w:ascii="Times New Roman" w:hAnsi="Times New Roman" w:eastAsia="仿宋_GB2312" w:cs="Times New Roman"/>
          <w:spacing w:val="0"/>
          <w:kern w:val="2"/>
          <w:sz w:val="32"/>
          <w:szCs w:val="32"/>
          <w:lang w:val="en-US" w:eastAsia="zh-CN" w:bidi="ar-SA"/>
        </w:rPr>
        <w:t>并督促整改。加强法治宣传，收集研判10起垃圾分类典型案例，为垃圾分类法治宣传提供实务范本；开展“垃圾分类 童心同行”活动，构建多维宣传矩阵。</w:t>
      </w:r>
    </w:p>
    <w:p w14:paraId="187B80EC">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（二）深化管执联动渣土监管</w:t>
      </w:r>
    </w:p>
    <w:p w14:paraId="6D833B9D">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pacing w:val="0"/>
          <w:kern w:val="2"/>
          <w:sz w:val="32"/>
          <w:szCs w:val="32"/>
          <w:lang w:val="en-US" w:eastAsia="zh-CN" w:bidi="ar-SA"/>
        </w:rPr>
      </w:pPr>
      <w:r>
        <w:rPr>
          <w:rFonts w:hint="default" w:ascii="Times New Roman" w:hAnsi="Times New Roman" w:eastAsia="仿宋_GB2312" w:cs="Times New Roman"/>
          <w:spacing w:val="0"/>
          <w:kern w:val="2"/>
          <w:sz w:val="32"/>
          <w:szCs w:val="32"/>
          <w:lang w:val="en-US" w:eastAsia="zh-CN" w:bidi="ar-SA"/>
        </w:rPr>
        <w:t>持续开展建筑垃圾全流程监管工作，促进建筑垃圾全链条管理常态长效。系统梳理执法打击过程中发现的监管薄弱环节，建立“执法数据反哺管理优化”闭环机制，将</w:t>
      </w:r>
      <w:r>
        <w:rPr>
          <w:rFonts w:hint="eastAsia" w:ascii="Times New Roman" w:hAnsi="Times New Roman" w:eastAsia="仿宋_GB2312" w:cs="Times New Roman"/>
          <w:spacing w:val="0"/>
          <w:kern w:val="2"/>
          <w:sz w:val="32"/>
          <w:szCs w:val="32"/>
          <w:lang w:val="en-US" w:eastAsia="zh-CN" w:bidi="ar-SA"/>
        </w:rPr>
        <w:t>类</w:t>
      </w:r>
      <w:r>
        <w:rPr>
          <w:rFonts w:hint="default" w:ascii="Times New Roman" w:hAnsi="Times New Roman" w:eastAsia="仿宋_GB2312" w:cs="Times New Roman"/>
          <w:spacing w:val="0"/>
          <w:kern w:val="2"/>
          <w:sz w:val="32"/>
          <w:szCs w:val="32"/>
          <w:lang w:val="en-US" w:eastAsia="zh-CN" w:bidi="ar-SA"/>
        </w:rPr>
        <w:t>案处置中暴露的共性问题</w:t>
      </w:r>
      <w:r>
        <w:rPr>
          <w:rFonts w:hint="eastAsia" w:ascii="Times New Roman" w:hAnsi="Times New Roman" w:eastAsia="仿宋_GB2312" w:cs="Times New Roman"/>
          <w:spacing w:val="0"/>
          <w:kern w:val="2"/>
          <w:sz w:val="32"/>
          <w:szCs w:val="32"/>
          <w:lang w:val="en-US" w:eastAsia="zh-CN" w:bidi="ar-SA"/>
        </w:rPr>
        <w:t>及时反馈</w:t>
      </w:r>
      <w:r>
        <w:rPr>
          <w:rFonts w:hint="default" w:ascii="Times New Roman" w:hAnsi="Times New Roman" w:eastAsia="仿宋_GB2312" w:cs="Times New Roman"/>
          <w:spacing w:val="0"/>
          <w:kern w:val="2"/>
          <w:sz w:val="32"/>
          <w:szCs w:val="32"/>
          <w:lang w:val="en-US" w:eastAsia="zh-CN" w:bidi="ar-SA"/>
        </w:rPr>
        <w:t>管理端</w:t>
      </w:r>
      <w:r>
        <w:rPr>
          <w:rFonts w:hint="eastAsia" w:ascii="Times New Roman" w:hAnsi="Times New Roman" w:eastAsia="仿宋_GB2312" w:cs="Times New Roman"/>
          <w:spacing w:val="0"/>
          <w:kern w:val="2"/>
          <w:sz w:val="32"/>
          <w:szCs w:val="32"/>
          <w:lang w:val="en-US" w:eastAsia="zh-CN" w:bidi="ar-SA"/>
        </w:rPr>
        <w:t>，协同推动，靶向改进，出台电子联单等预防性制度</w:t>
      </w:r>
      <w:r>
        <w:rPr>
          <w:rFonts w:hint="default" w:ascii="Times New Roman" w:hAnsi="Times New Roman" w:eastAsia="仿宋_GB2312" w:cs="Times New Roman"/>
          <w:spacing w:val="0"/>
          <w:kern w:val="2"/>
          <w:sz w:val="32"/>
          <w:szCs w:val="32"/>
          <w:lang w:val="en-US" w:eastAsia="zh-CN" w:bidi="ar-SA"/>
        </w:rPr>
        <w:t>。</w:t>
      </w:r>
    </w:p>
    <w:p w14:paraId="2AA6CF50">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（三）推进违法建设重点攻坚</w:t>
      </w:r>
    </w:p>
    <w:p w14:paraId="778E0BC6">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b w:val="0"/>
          <w:bCs w:val="0"/>
          <w:color w:val="000000"/>
          <w:spacing w:val="0"/>
          <w:kern w:val="2"/>
          <w:sz w:val="32"/>
          <w:szCs w:val="32"/>
          <w:highlight w:val="none"/>
          <w:lang w:val="en-US" w:eastAsia="zh-CN" w:bidi="ar-SA"/>
        </w:rPr>
      </w:pPr>
      <w:r>
        <w:rPr>
          <w:rFonts w:hint="default" w:ascii="Times New Roman" w:hAnsi="Times New Roman" w:eastAsia="仿宋_GB2312" w:cs="Times New Roman"/>
          <w:b w:val="0"/>
          <w:color w:val="000000"/>
          <w:spacing w:val="0"/>
          <w:sz w:val="32"/>
          <w:szCs w:val="32"/>
        </w:rPr>
        <w:t>对新增违建保持“零容忍”高压态势</w:t>
      </w:r>
      <w:r>
        <w:rPr>
          <w:rFonts w:hint="default" w:ascii="Times New Roman" w:hAnsi="Times New Roman" w:eastAsia="仿宋_GB2312" w:cs="Times New Roman"/>
          <w:b w:val="0"/>
          <w:color w:val="000000"/>
          <w:spacing w:val="0"/>
          <w:sz w:val="32"/>
          <w:szCs w:val="32"/>
          <w:lang w:eastAsia="zh-CN"/>
        </w:rPr>
        <w:t>，</w:t>
      </w:r>
      <w:r>
        <w:rPr>
          <w:rFonts w:hint="default" w:ascii="Times New Roman" w:hAnsi="Times New Roman" w:eastAsia="仿宋_GB2312" w:cs="Times New Roman"/>
          <w:b w:val="0"/>
          <w:color w:val="000000"/>
          <w:spacing w:val="0"/>
          <w:sz w:val="32"/>
          <w:szCs w:val="32"/>
          <w:lang w:val="en-US" w:eastAsia="zh-CN"/>
        </w:rPr>
        <w:t>督促属地</w:t>
      </w:r>
      <w:r>
        <w:rPr>
          <w:rFonts w:hint="default" w:ascii="Times New Roman" w:hAnsi="Times New Roman" w:eastAsia="仿宋_GB2312" w:cs="Times New Roman"/>
          <w:b w:val="0"/>
          <w:color w:val="000000"/>
          <w:spacing w:val="0"/>
          <w:sz w:val="32"/>
          <w:szCs w:val="32"/>
        </w:rPr>
        <w:t>及时拆除新增违建。</w:t>
      </w:r>
      <w:r>
        <w:rPr>
          <w:rFonts w:hint="default" w:ascii="Times New Roman" w:hAnsi="Times New Roman" w:eastAsia="仿宋_GB2312" w:cs="Times New Roman"/>
          <w:b w:val="0"/>
          <w:bCs w:val="0"/>
          <w:color w:val="000000"/>
          <w:spacing w:val="0"/>
          <w:kern w:val="2"/>
          <w:sz w:val="32"/>
          <w:szCs w:val="32"/>
          <w:highlight w:val="none"/>
          <w:lang w:val="en-US" w:eastAsia="zh-CN" w:bidi="ar-SA"/>
        </w:rPr>
        <w:t>以涉安、低密度小区违法建设为重点，</w:t>
      </w:r>
      <w:r>
        <w:rPr>
          <w:rFonts w:hint="default" w:ascii="Times New Roman" w:hAnsi="Times New Roman" w:eastAsia="仿宋_GB2312" w:cs="Times New Roman"/>
          <w:b w:val="0"/>
          <w:color w:val="000000"/>
          <w:spacing w:val="0"/>
          <w:sz w:val="32"/>
          <w:szCs w:val="32"/>
        </w:rPr>
        <w:t>分类推进存量违建销</w:t>
      </w:r>
      <w:r>
        <w:rPr>
          <w:rFonts w:hint="default" w:ascii="Times New Roman" w:hAnsi="Times New Roman" w:eastAsia="仿宋_GB2312" w:cs="Times New Roman"/>
          <w:b w:val="0"/>
          <w:color w:val="000000"/>
          <w:spacing w:val="0"/>
          <w:sz w:val="32"/>
          <w:szCs w:val="32"/>
          <w:lang w:val="en-US" w:eastAsia="zh-CN"/>
        </w:rPr>
        <w:t>号</w:t>
      </w:r>
      <w:r>
        <w:rPr>
          <w:rFonts w:hint="default" w:ascii="Times New Roman" w:hAnsi="Times New Roman" w:eastAsia="仿宋_GB2312" w:cs="Times New Roman"/>
          <w:b w:val="0"/>
          <w:bCs w:val="0"/>
          <w:color w:val="000000"/>
          <w:spacing w:val="0"/>
          <w:kern w:val="2"/>
          <w:sz w:val="32"/>
          <w:szCs w:val="32"/>
          <w:highlight w:val="none"/>
          <w:lang w:val="en-US" w:eastAsia="zh-CN" w:bidi="ar-SA"/>
        </w:rPr>
        <w:t>。</w:t>
      </w:r>
      <w:r>
        <w:rPr>
          <w:rFonts w:hint="eastAsia" w:ascii="Times New Roman" w:hAnsi="Times New Roman" w:eastAsia="仿宋_GB2312" w:cs="Times New Roman"/>
          <w:b w:val="0"/>
          <w:bCs w:val="0"/>
          <w:color w:val="000000"/>
          <w:spacing w:val="0"/>
          <w:kern w:val="2"/>
          <w:sz w:val="32"/>
          <w:szCs w:val="32"/>
          <w:highlight w:val="none"/>
          <w:lang w:val="en-US" w:eastAsia="zh-CN" w:bidi="ar-SA"/>
        </w:rPr>
        <w:t>研究草拟违法建设相关工作指引及监督工作流程</w:t>
      </w:r>
      <w:r>
        <w:rPr>
          <w:rFonts w:hint="default" w:ascii="Times New Roman" w:hAnsi="Times New Roman" w:eastAsia="仿宋_GB2312" w:cs="Times New Roman"/>
          <w:b w:val="0"/>
          <w:bCs w:val="0"/>
          <w:color w:val="000000"/>
          <w:spacing w:val="0"/>
          <w:kern w:val="2"/>
          <w:sz w:val="32"/>
          <w:szCs w:val="32"/>
          <w:highlight w:val="none"/>
          <w:lang w:val="en-US" w:eastAsia="zh-CN" w:bidi="ar-SA"/>
        </w:rPr>
        <w:t>，</w:t>
      </w:r>
      <w:r>
        <w:rPr>
          <w:rFonts w:hint="eastAsia" w:ascii="Times New Roman" w:hAnsi="Times New Roman" w:eastAsia="仿宋_GB2312" w:cs="Times New Roman"/>
          <w:b w:val="0"/>
          <w:bCs w:val="0"/>
          <w:color w:val="000000"/>
          <w:spacing w:val="0"/>
          <w:kern w:val="2"/>
          <w:sz w:val="32"/>
          <w:szCs w:val="32"/>
          <w:highlight w:val="none"/>
          <w:lang w:val="en-US" w:eastAsia="zh-CN" w:bidi="ar-SA"/>
        </w:rPr>
        <w:t>提升违法建设治理监督效能。</w:t>
      </w:r>
    </w:p>
    <w:p w14:paraId="43DB293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黑体" w:hAnsi="黑体" w:eastAsia="黑体" w:cs="黑体"/>
          <w:kern w:val="2"/>
          <w:sz w:val="21"/>
          <w:szCs w:val="24"/>
          <w:lang w:val="en-US" w:eastAsia="zh-CN" w:bidi="ar-SA"/>
        </w:rPr>
      </w:pPr>
      <w:r>
        <w:rPr>
          <w:rFonts w:hint="eastAsia" w:ascii="黑体" w:hAnsi="黑体" w:eastAsia="黑体" w:cs="黑体"/>
          <w:kern w:val="2"/>
          <w:sz w:val="32"/>
          <w:szCs w:val="32"/>
          <w:lang w:val="en-US" w:eastAsia="zh-CN" w:bidi="ar-SA"/>
        </w:rPr>
        <w:t>五、深化普法惠民，推动法宣提质</w:t>
      </w:r>
    </w:p>
    <w:p w14:paraId="61C9BBCB">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（一）强化法治护航长效治理</w:t>
      </w:r>
    </w:p>
    <w:p w14:paraId="54FA679F">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印发年度普法计划，结合“民法典宣传月”，配合做好《苏州市生活垃圾分类管理条例》实施五周年广场普法暨成效展活动</w:t>
      </w:r>
      <w:r>
        <w:rPr>
          <w:rFonts w:hint="eastAsia" w:ascii="Times New Roman" w:hAnsi="Times New Roman" w:eastAsia="仿宋_GB2312" w:cs="Times New Roman"/>
          <w:sz w:val="32"/>
          <w:szCs w:val="32"/>
          <w:lang w:val="en-US" w:eastAsia="zh-CN"/>
        </w:rPr>
        <w:t>，</w:t>
      </w:r>
      <w:r>
        <w:rPr>
          <w:rFonts w:hint="default" w:ascii="仿宋_GB2312" w:hAnsi="Times New Roman" w:eastAsia="仿宋_GB2312" w:cs="Times New Roman"/>
          <w:kern w:val="2"/>
          <w:sz w:val="32"/>
          <w:szCs w:val="32"/>
          <w:lang w:val="en-US" w:eastAsia="zh-CN" w:bidi="ar-SA"/>
        </w:rPr>
        <w:t>现场设置垃圾分类小游戏、智能回收机体验区，吸引200余名居民参与，发放法规手册230余份，通过“游戏+体验”的方式让居民直观掌握分类知识</w:t>
      </w:r>
      <w:r>
        <w:rPr>
          <w:rFonts w:hint="default" w:ascii="Times New Roman" w:hAnsi="Times New Roman" w:eastAsia="仿宋_GB2312" w:cs="Times New Roman"/>
          <w:sz w:val="32"/>
          <w:szCs w:val="32"/>
          <w:lang w:val="en-US" w:eastAsia="zh-CN"/>
        </w:rPr>
        <w:t>。</w:t>
      </w:r>
    </w:p>
    <w:p w14:paraId="1CFF4845">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（二）开展重点普法进工地活动</w:t>
      </w:r>
    </w:p>
    <w:p w14:paraId="7043C9DD">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
        </w:rPr>
        <w:t>会同</w:t>
      </w:r>
      <w:r>
        <w:rPr>
          <w:rFonts w:hint="default" w:ascii="Times New Roman" w:hAnsi="Times New Roman" w:eastAsia="仿宋_GB2312" w:cs="Times New Roman"/>
          <w:sz w:val="32"/>
          <w:szCs w:val="32"/>
          <w:lang w:val="en-US" w:eastAsia="zh-CN"/>
        </w:rPr>
        <w:t>高新区城市管理局</w:t>
      </w:r>
      <w:r>
        <w:rPr>
          <w:rFonts w:hint="eastAsia" w:ascii="Times New Roman" w:hAnsi="Times New Roman" w:eastAsia="仿宋_GB2312" w:cs="Times New Roman"/>
          <w:sz w:val="32"/>
          <w:szCs w:val="32"/>
          <w:lang w:val="en-US" w:eastAsia="zh"/>
        </w:rPr>
        <w:t>、</w:t>
      </w:r>
      <w:r>
        <w:rPr>
          <w:rFonts w:hint="default" w:ascii="Times New Roman" w:hAnsi="Times New Roman" w:eastAsia="仿宋_GB2312" w:cs="Times New Roman"/>
          <w:sz w:val="32"/>
          <w:szCs w:val="32"/>
          <w:lang w:val="en-US" w:eastAsia="zh-CN"/>
        </w:rPr>
        <w:t>狮山横塘街道综合行政执法和安全生产监督管理办公室一同深入金山路某建设工地，用一场接地气“圆桌”对话与普法宣传活动，面对面将相关法律法规“送”进工地，通过“交流+宣传+检查”方式，推动在建工地文明施工的同时，为绿色发展按下“加速键”。</w:t>
      </w:r>
    </w:p>
    <w:p w14:paraId="073A5093">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（三）开展精准普法进社区活动</w:t>
      </w:r>
    </w:p>
    <w:p w14:paraId="4F5A4DE1">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合里河社区共同举办“城管服务进社区，普法惠民暖万家”主题宣传活动，向居民发放《苏州市城市市容和环境卫生管理条例》《苏州市生活垃圾分类管理条例》等法规手册230余份，解答小区垃圾分类投放规范、占道经营治理标准等热点问题，指导老年居民查询垃圾分类指南，有效提升居民法规知晓率和配合度。</w:t>
      </w:r>
    </w:p>
    <w:p w14:paraId="57A94C3B">
      <w:pPr>
        <w:keepNext w:val="0"/>
        <w:keepLines w:val="0"/>
        <w:widowControl w:val="0"/>
        <w:suppressLineNumbers w:val="0"/>
        <w:autoSpaceDE w:val="0"/>
        <w:autoSpaceDN/>
        <w:spacing w:before="0" w:beforeAutospacing="0" w:after="0" w:afterAutospacing="0" w:line="580" w:lineRule="exact"/>
        <w:ind w:left="0" w:leftChars="0" w:right="0" w:rightChars="0" w:firstLine="640" w:firstLineChars="20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五、提升审批质效，优化营商环境</w:t>
      </w:r>
    </w:p>
    <w:p w14:paraId="0F215399">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（一）推进柔性执法激发活力</w:t>
      </w:r>
    </w:p>
    <w:p w14:paraId="33F7C99B">
      <w:pPr>
        <w:spacing w:line="600" w:lineRule="exact"/>
        <w:ind w:firstLine="640" w:firstLineChars="200"/>
        <w:rPr>
          <w:rFonts w:hint="default" w:ascii="仿宋_GB2312" w:hAnsi="Times New Roman"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t>在原《苏州市城管领域涉企违法免罚轻罚清单4.0版本》基础上修订形成2025版清单，包含不予行政处罚事项9项、从轻行政处罚事项2项、不予实施行政强制措施事项1项，以“柔性执法”促进企业主动规范经营。全年全市办理免罚轻罚案件621起，推动形成“执法有温度、监管有力度”的良性互动格局</w:t>
      </w:r>
      <w:r>
        <w:rPr>
          <w:rFonts w:hint="eastAsia" w:ascii="仿宋_GB2312" w:hAnsi="Times New Roman" w:eastAsia="仿宋_GB2312" w:cs="Times New Roman"/>
          <w:kern w:val="2"/>
          <w:sz w:val="32"/>
          <w:szCs w:val="32"/>
          <w:lang w:val="en-US" w:eastAsia="zh-CN" w:bidi="ar-SA"/>
        </w:rPr>
        <w:t>。</w:t>
      </w:r>
    </w:p>
    <w:p w14:paraId="7BE281E9">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（二）推动行政审批提质增效</w:t>
      </w:r>
    </w:p>
    <w:p w14:paraId="03C06BC2">
      <w:pPr>
        <w:spacing w:line="600" w:lineRule="exact"/>
        <w:ind w:firstLine="640" w:firstLineChars="200"/>
        <w:rPr>
          <w:rFonts w:hint="default" w:ascii="仿宋_GB2312"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根</w:t>
      </w:r>
      <w:r>
        <w:rPr>
          <w:rFonts w:hint="default" w:ascii="Times New Roman" w:hAnsi="Times New Roman" w:eastAsia="仿宋_GB2312" w:cs="Times New Roman"/>
          <w:bCs/>
          <w:sz w:val="32"/>
          <w:szCs w:val="32"/>
        </w:rPr>
        <w:t>据主要领导“换位跑一次”提出的相关要求，依托省工改平台，完成了城管局审批系统和苏州市政务服务平台系统的贯通，确保了数据及时的回流回传，提高了审批效率，实现“让群众少跑路，数据多跑腿”。</w:t>
      </w:r>
    </w:p>
    <w:p w14:paraId="34944BF2">
      <w:pPr>
        <w:spacing w:line="600" w:lineRule="exact"/>
        <w:ind w:firstLine="640" w:firstLineChars="20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六、坚持党建引领，推进共治共享</w:t>
      </w:r>
    </w:p>
    <w:p w14:paraId="55A6EE6E">
      <w:pPr>
        <w:spacing w:line="600" w:lineRule="exact"/>
        <w:ind w:firstLine="640" w:firstLineChars="200"/>
      </w:pPr>
      <w:r>
        <w:rPr>
          <w:rFonts w:hint="eastAsia" w:ascii="楷体_GB2312" w:hAnsi="楷体_GB2312" w:eastAsia="楷体_GB2312" w:cs="楷体_GB2312"/>
          <w:kern w:val="2"/>
          <w:sz w:val="32"/>
          <w:szCs w:val="32"/>
          <w:lang w:val="en-US" w:eastAsia="zh-CN" w:bidi="ar-SA"/>
        </w:rPr>
        <w:t>（一）推进城管服务进社区</w:t>
      </w:r>
    </w:p>
    <w:p w14:paraId="01AFBFC0">
      <w:pPr>
        <w:spacing w:line="600" w:lineRule="exact"/>
        <w:ind w:firstLine="640" w:firstLineChars="200"/>
        <w:rPr>
          <w:rFonts w:hint="eastAsia" w:ascii="仿宋_GB2312" w:hAnsi="黑体" w:eastAsia="仿宋_GB2312"/>
          <w:sz w:val="32"/>
          <w:szCs w:val="32"/>
        </w:rPr>
      </w:pPr>
      <w:r>
        <w:rPr>
          <w:rFonts w:hint="default" w:ascii="仿宋_GB2312" w:hAnsi="Times New Roman" w:eastAsia="仿宋_GB2312" w:cs="Times New Roman"/>
          <w:kern w:val="2"/>
          <w:sz w:val="32"/>
          <w:szCs w:val="32"/>
          <w:lang w:val="en-US" w:eastAsia="zh-CN" w:bidi="ar-SA"/>
        </w:rPr>
        <w:t>推行“1+N+X”团队模式（1名城管队员+N名工作人员+X名志愿者），配备普法宣传角，摆放《苏州市城市市容和环境卫生管理条例》《垃圾分类管理条例》等法规手册；工作岗配备普法专员，提供法规咨询服务900余次，帮助居民解决占道经营、垃圾分类等法律疑问600余个。</w:t>
      </w:r>
    </w:p>
    <w:p w14:paraId="5876DB7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pPr>
      <w:r>
        <w:rPr>
          <w:rFonts w:hint="default" w:ascii="Times New Roman" w:hAnsi="Times New Roman" w:eastAsia="楷体_GB2312" w:cs="Times New Roman"/>
          <w:b w:val="0"/>
          <w:bCs w:val="0"/>
          <w:color w:val="auto"/>
          <w:spacing w:val="0"/>
          <w:kern w:val="2"/>
          <w:sz w:val="32"/>
          <w:szCs w:val="32"/>
          <w:lang w:val="en-US" w:eastAsia="zh-CN" w:bidi="ar-SA"/>
        </w:rPr>
        <w:t>（二）激发社会参与共建共治</w:t>
      </w:r>
    </w:p>
    <w:p w14:paraId="2BB4DDA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default" w:ascii="Times New Roman" w:hAnsi="Times New Roman" w:eastAsia="仿宋_GB2312" w:cs="Times New Roman"/>
          <w:spacing w:val="0"/>
          <w:sz w:val="32"/>
          <w:szCs w:val="32"/>
          <w:lang w:val="en-US" w:eastAsia="zh-CN"/>
        </w:rPr>
      </w:pPr>
      <w:r>
        <w:rPr>
          <w:rFonts w:hint="default" w:ascii="Times New Roman" w:hAnsi="Times New Roman" w:eastAsia="仿宋_GB2312" w:cs="Times New Roman"/>
          <w:spacing w:val="0"/>
          <w:sz w:val="32"/>
          <w:szCs w:val="32"/>
          <w:lang w:val="en-US" w:eastAsia="zh-CN"/>
        </w:rPr>
        <w:t>选聘来自社会各行各业，有志于城市管理志愿服务的公益人士，组建“城管百姓监督员”队伍</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spacing w:val="0"/>
          <w:sz w:val="32"/>
          <w:szCs w:val="32"/>
          <w:lang w:val="en-US" w:eastAsia="zh-CN"/>
        </w:rPr>
        <w:t>推动解决金鸡湖健身步道救生设施损坏等一批民生热点问题。</w:t>
      </w:r>
    </w:p>
    <w:p w14:paraId="33ACD435">
      <w:pPr>
        <w:pStyle w:val="2"/>
        <w:pageBreakBefore w:val="0"/>
        <w:kinsoku/>
        <w:wordWrap/>
        <w:autoSpaceDE/>
        <w:autoSpaceDN/>
        <w:bidi w:val="0"/>
        <w:adjustRightInd/>
        <w:snapToGrid/>
        <w:spacing w:line="580" w:lineRule="exact"/>
        <w:ind w:left="0" w:leftChars="0" w:firstLine="640" w:firstLineChars="200"/>
        <w:textAlignment w:val="auto"/>
        <w:rPr>
          <w:rFonts w:hint="default" w:ascii="Times New Roman" w:hAnsi="Times New Roman" w:eastAsia="楷体_GB2312" w:cs="Times New Roman"/>
          <w:b w:val="0"/>
          <w:bCs w:val="0"/>
          <w:color w:val="auto"/>
          <w:spacing w:val="0"/>
          <w:kern w:val="2"/>
          <w:sz w:val="32"/>
          <w:szCs w:val="32"/>
          <w:lang w:val="en-US" w:eastAsia="zh-CN" w:bidi="ar-SA"/>
        </w:rPr>
      </w:pPr>
      <w:r>
        <w:rPr>
          <w:rFonts w:hint="default" w:ascii="Times New Roman" w:hAnsi="Times New Roman" w:eastAsia="楷体_GB2312" w:cs="Times New Roman"/>
          <w:b w:val="0"/>
          <w:bCs w:val="0"/>
          <w:color w:val="auto"/>
          <w:spacing w:val="0"/>
          <w:kern w:val="2"/>
          <w:sz w:val="32"/>
          <w:szCs w:val="32"/>
          <w:lang w:val="en-US" w:eastAsia="zh-CN" w:bidi="ar-SA"/>
        </w:rPr>
        <w:t>（三）加大宣传改善职业形象</w:t>
      </w:r>
    </w:p>
    <w:p w14:paraId="0832A5A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b w:val="0"/>
          <w:color w:val="000000"/>
          <w:spacing w:val="0"/>
          <w:sz w:val="32"/>
          <w:szCs w:val="32"/>
          <w:highlight w:val="none"/>
          <w:lang w:val="en-US" w:eastAsia="zh-CN"/>
        </w:rPr>
      </w:pPr>
      <w:r>
        <w:rPr>
          <w:rFonts w:hint="eastAsia" w:ascii="Times New Roman" w:hAnsi="Times New Roman" w:eastAsia="仿宋_GB2312" w:cs="Times New Roman"/>
          <w:b w:val="0"/>
          <w:color w:val="000000"/>
          <w:spacing w:val="0"/>
          <w:sz w:val="32"/>
          <w:szCs w:val="32"/>
          <w:highlight w:val="none"/>
          <w:lang w:val="en-US" w:eastAsia="zh-CN"/>
        </w:rPr>
        <w:t>做好两会、党的二十届四中全会等重要时间节点信访稳定工作，积极化解信访矛盾，</w:t>
      </w:r>
      <w:r>
        <w:rPr>
          <w:rFonts w:hint="eastAsia" w:ascii="Times New Roman" w:hAnsi="Times New Roman" w:eastAsia="仿宋_GB2312" w:cs="Times New Roman"/>
          <w:b w:val="0"/>
          <w:color w:val="000000"/>
          <w:spacing w:val="0"/>
          <w:sz w:val="32"/>
          <w:szCs w:val="32"/>
          <w:highlight w:val="none"/>
          <w:lang w:val="en-US" w:eastAsia="zh-CN"/>
        </w:rPr>
        <w:t>落实意识形态工作责任，加强对宣传阵地、网络平台的管理和监督，及时发现并处理苗头性、倾向性问题</w:t>
      </w:r>
      <w:r>
        <w:rPr>
          <w:rFonts w:hint="default" w:ascii="Times New Roman" w:hAnsi="Times New Roman" w:eastAsia="仿宋_GB2312" w:cs="Times New Roman"/>
          <w:b w:val="0"/>
          <w:color w:val="000000"/>
          <w:spacing w:val="0"/>
          <w:sz w:val="32"/>
          <w:szCs w:val="32"/>
          <w:highlight w:val="none"/>
          <w:lang w:val="en-US" w:eastAsia="zh-CN"/>
        </w:rPr>
        <w:t>。牵头承办城管系统第一期“道德讲堂”，组织“城管服务进社区”活动，引导群众走近城管、了解城管、支持城管。</w:t>
      </w:r>
    </w:p>
    <w:p w14:paraId="049B830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color w:val="000000"/>
          <w:spacing w:val="0"/>
          <w:kern w:val="2"/>
          <w:sz w:val="32"/>
          <w:szCs w:val="32"/>
          <w:highlight w:val="none"/>
          <w:lang w:val="en-US" w:eastAsia="zh-CN" w:bidi="ar-SA"/>
        </w:rPr>
      </w:pPr>
      <w:r>
        <w:rPr>
          <w:rFonts w:hint="eastAsia" w:ascii="黑体" w:hAnsi="黑体" w:eastAsia="黑体" w:cs="黑体"/>
          <w:b w:val="0"/>
          <w:color w:val="000000"/>
          <w:spacing w:val="0"/>
          <w:kern w:val="2"/>
          <w:sz w:val="32"/>
          <w:szCs w:val="32"/>
          <w:highlight w:val="none"/>
          <w:lang w:val="en-US" w:eastAsia="zh-CN" w:bidi="ar-SA"/>
        </w:rPr>
        <w:t>七、存在不足及原因分析</w:t>
      </w:r>
    </w:p>
    <w:p w14:paraId="06D6ED4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default" w:ascii="Times New Roman" w:hAnsi="Times New Roman" w:eastAsia="仿宋_GB2312" w:cs="Times New Roman"/>
          <w:b w:val="0"/>
          <w:color w:val="000000"/>
          <w:spacing w:val="0"/>
          <w:kern w:val="2"/>
          <w:sz w:val="32"/>
          <w:szCs w:val="32"/>
          <w:highlight w:val="none"/>
          <w:lang w:val="en-US" w:eastAsia="zh-CN" w:bidi="ar-SA"/>
        </w:rPr>
      </w:pPr>
      <w:r>
        <w:rPr>
          <w:rFonts w:hint="default" w:ascii="Times New Roman" w:hAnsi="Times New Roman" w:eastAsia="仿宋_GB2312" w:cs="Times New Roman"/>
          <w:b/>
          <w:bCs/>
          <w:color w:val="000000"/>
          <w:spacing w:val="0"/>
          <w:kern w:val="2"/>
          <w:sz w:val="32"/>
          <w:szCs w:val="32"/>
          <w:highlight w:val="none"/>
          <w:lang w:val="en-US" w:eastAsia="zh-CN" w:bidi="ar-SA"/>
        </w:rPr>
        <w:t>一</w:t>
      </w:r>
      <w:r>
        <w:rPr>
          <w:rFonts w:hint="eastAsia" w:ascii="Times New Roman" w:hAnsi="Times New Roman" w:eastAsia="仿宋_GB2312" w:cs="Times New Roman"/>
          <w:b/>
          <w:bCs/>
          <w:color w:val="000000"/>
          <w:spacing w:val="0"/>
          <w:kern w:val="2"/>
          <w:sz w:val="32"/>
          <w:szCs w:val="32"/>
          <w:highlight w:val="none"/>
          <w:lang w:val="en-US" w:eastAsia="zh-CN" w:bidi="ar-SA"/>
        </w:rPr>
        <w:t>是</w:t>
      </w:r>
      <w:r>
        <w:rPr>
          <w:rFonts w:hint="default" w:ascii="Times New Roman" w:hAnsi="Times New Roman" w:eastAsia="仿宋_GB2312" w:cs="Times New Roman"/>
          <w:b/>
          <w:bCs/>
          <w:color w:val="000000"/>
          <w:spacing w:val="0"/>
          <w:kern w:val="2"/>
          <w:sz w:val="32"/>
          <w:szCs w:val="32"/>
          <w:highlight w:val="none"/>
          <w:lang w:val="en-US" w:eastAsia="zh-CN" w:bidi="ar-SA"/>
        </w:rPr>
        <w:t>基层执法能力短板仍存。</w:t>
      </w:r>
      <w:r>
        <w:rPr>
          <w:rFonts w:hint="default" w:ascii="Times New Roman" w:hAnsi="Times New Roman" w:eastAsia="仿宋_GB2312" w:cs="Times New Roman"/>
          <w:b w:val="0"/>
          <w:color w:val="000000"/>
          <w:spacing w:val="0"/>
          <w:kern w:val="2"/>
          <w:sz w:val="32"/>
          <w:szCs w:val="32"/>
          <w:highlight w:val="none"/>
          <w:lang w:val="en-US" w:eastAsia="zh-CN" w:bidi="ar-SA"/>
        </w:rPr>
        <w:t>部分一线执法人员对新修订法规政策的理解深度不足，复杂案件证据固定与法律适用能力有待提升；原因是针对性实战培训场景覆盖不够全面，案例教学与现场处置结合不够紧密。</w:t>
      </w:r>
      <w:r>
        <w:rPr>
          <w:rFonts w:hint="default" w:ascii="Times New Roman" w:hAnsi="Times New Roman" w:eastAsia="仿宋_GB2312" w:cs="Times New Roman"/>
          <w:b/>
          <w:bCs/>
          <w:color w:val="000000"/>
          <w:spacing w:val="0"/>
          <w:kern w:val="2"/>
          <w:sz w:val="32"/>
          <w:szCs w:val="32"/>
          <w:highlight w:val="none"/>
          <w:lang w:val="en-US" w:eastAsia="zh-CN" w:bidi="ar-SA"/>
        </w:rPr>
        <w:t>二</w:t>
      </w:r>
      <w:r>
        <w:rPr>
          <w:rFonts w:hint="eastAsia" w:ascii="Times New Roman" w:hAnsi="Times New Roman" w:eastAsia="仿宋_GB2312" w:cs="Times New Roman"/>
          <w:b/>
          <w:bCs/>
          <w:color w:val="000000"/>
          <w:spacing w:val="0"/>
          <w:kern w:val="2"/>
          <w:sz w:val="32"/>
          <w:szCs w:val="32"/>
          <w:highlight w:val="none"/>
          <w:lang w:val="en-US" w:eastAsia="zh-CN" w:bidi="ar-SA"/>
        </w:rPr>
        <w:t>是</w:t>
      </w:r>
      <w:r>
        <w:rPr>
          <w:rFonts w:hint="default" w:ascii="Times New Roman" w:hAnsi="Times New Roman" w:eastAsia="仿宋_GB2312" w:cs="Times New Roman"/>
          <w:b/>
          <w:bCs/>
          <w:color w:val="000000"/>
          <w:spacing w:val="0"/>
          <w:kern w:val="2"/>
          <w:sz w:val="32"/>
          <w:szCs w:val="32"/>
          <w:highlight w:val="none"/>
          <w:lang w:val="en-US" w:eastAsia="zh-CN" w:bidi="ar-SA"/>
        </w:rPr>
        <w:t>跨部门协同机制需优化。</w:t>
      </w:r>
      <w:r>
        <w:rPr>
          <w:rFonts w:hint="default" w:ascii="Times New Roman" w:hAnsi="Times New Roman" w:eastAsia="仿宋_GB2312" w:cs="Times New Roman"/>
          <w:b w:val="0"/>
          <w:color w:val="000000"/>
          <w:spacing w:val="0"/>
          <w:kern w:val="2"/>
          <w:sz w:val="32"/>
          <w:szCs w:val="32"/>
          <w:highlight w:val="none"/>
          <w:lang w:val="en-US" w:eastAsia="zh-CN" w:bidi="ar-SA"/>
        </w:rPr>
        <w:t>涉及多部门的城市管理事项响应效率偏低，信息共享存在壁垒；原因是协同流程标准化程度不足，数据互通平台未完全实现跨领域对接。</w:t>
      </w:r>
      <w:r>
        <w:rPr>
          <w:rFonts w:hint="default" w:ascii="Times New Roman" w:hAnsi="Times New Roman" w:eastAsia="仿宋_GB2312" w:cs="Times New Roman"/>
          <w:b/>
          <w:bCs/>
          <w:color w:val="000000"/>
          <w:spacing w:val="0"/>
          <w:kern w:val="2"/>
          <w:sz w:val="32"/>
          <w:szCs w:val="32"/>
          <w:highlight w:val="none"/>
          <w:lang w:val="en-US" w:eastAsia="zh-CN" w:bidi="ar-SA"/>
        </w:rPr>
        <w:t>三</w:t>
      </w:r>
      <w:r>
        <w:rPr>
          <w:rFonts w:hint="eastAsia" w:ascii="Times New Roman" w:hAnsi="Times New Roman" w:eastAsia="仿宋_GB2312" w:cs="Times New Roman"/>
          <w:b/>
          <w:bCs/>
          <w:color w:val="000000"/>
          <w:spacing w:val="0"/>
          <w:kern w:val="2"/>
          <w:sz w:val="32"/>
          <w:szCs w:val="32"/>
          <w:highlight w:val="none"/>
          <w:lang w:val="en-US" w:eastAsia="zh-CN" w:bidi="ar-SA"/>
        </w:rPr>
        <w:t>是</w:t>
      </w:r>
      <w:r>
        <w:rPr>
          <w:rFonts w:hint="default" w:ascii="Times New Roman" w:hAnsi="Times New Roman" w:eastAsia="仿宋_GB2312" w:cs="Times New Roman"/>
          <w:b/>
          <w:bCs/>
          <w:color w:val="000000"/>
          <w:spacing w:val="0"/>
          <w:kern w:val="2"/>
          <w:sz w:val="32"/>
          <w:szCs w:val="32"/>
          <w:highlight w:val="none"/>
          <w:lang w:val="en-US" w:eastAsia="zh-CN" w:bidi="ar-SA"/>
        </w:rPr>
        <w:t>普法宣传精准度待加强。</w:t>
      </w:r>
      <w:r>
        <w:rPr>
          <w:rFonts w:hint="default" w:ascii="Times New Roman" w:hAnsi="Times New Roman" w:eastAsia="仿宋_GB2312" w:cs="Times New Roman"/>
          <w:b w:val="0"/>
          <w:color w:val="000000"/>
          <w:spacing w:val="0"/>
          <w:kern w:val="2"/>
          <w:sz w:val="32"/>
          <w:szCs w:val="32"/>
          <w:highlight w:val="none"/>
          <w:lang w:val="en-US" w:eastAsia="zh-CN" w:bidi="ar-SA"/>
        </w:rPr>
        <w:t>针对外来务工人员、老年群体等特定对象的普法形式较为单一，效果有限；原因是前期需求调研不够充分，宣传载体与内容创新不足。</w:t>
      </w:r>
    </w:p>
    <w:p w14:paraId="60D596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color w:val="000000"/>
          <w:spacing w:val="0"/>
          <w:kern w:val="2"/>
          <w:sz w:val="32"/>
          <w:szCs w:val="32"/>
          <w:highlight w:val="none"/>
          <w:lang w:val="en-US" w:eastAsia="zh-CN" w:bidi="ar-SA"/>
        </w:rPr>
      </w:pPr>
      <w:r>
        <w:rPr>
          <w:rFonts w:hint="eastAsia" w:ascii="黑体" w:hAnsi="黑体" w:eastAsia="黑体" w:cs="黑体"/>
          <w:b w:val="0"/>
          <w:color w:val="000000"/>
          <w:spacing w:val="0"/>
          <w:kern w:val="2"/>
          <w:sz w:val="32"/>
          <w:szCs w:val="32"/>
          <w:highlight w:val="none"/>
          <w:lang w:val="en-US" w:eastAsia="zh-CN" w:bidi="ar-SA"/>
        </w:rPr>
        <w:t>八、2026年法治政府建设工作计划</w:t>
      </w:r>
    </w:p>
    <w:p w14:paraId="5566588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b w:val="0"/>
          <w:color w:val="000000"/>
          <w:spacing w:val="0"/>
          <w:sz w:val="32"/>
          <w:szCs w:val="32"/>
          <w:highlight w:val="none"/>
          <w:lang w:val="en-US" w:eastAsia="zh-CN"/>
        </w:rPr>
      </w:pPr>
      <w:r>
        <w:rPr>
          <w:rFonts w:hint="eastAsia" w:ascii="Times New Roman" w:hAnsi="Times New Roman" w:eastAsia="仿宋_GB2312" w:cs="Times New Roman"/>
          <w:b w:val="0"/>
          <w:color w:val="000000"/>
          <w:spacing w:val="0"/>
          <w:sz w:val="32"/>
          <w:szCs w:val="32"/>
          <w:highlight w:val="none"/>
          <w:lang w:val="en-US" w:eastAsia="zh-CN"/>
        </w:rPr>
        <w:t>2026年，我局将继续</w:t>
      </w:r>
      <w:r>
        <w:rPr>
          <w:rFonts w:hint="default" w:ascii="Times New Roman" w:hAnsi="Times New Roman" w:eastAsia="仿宋_GB2312" w:cs="Times New Roman"/>
          <w:b w:val="0"/>
          <w:color w:val="000000"/>
          <w:spacing w:val="0"/>
          <w:sz w:val="32"/>
          <w:szCs w:val="32"/>
          <w:highlight w:val="none"/>
          <w:lang w:val="en-US" w:eastAsia="zh-CN"/>
        </w:rPr>
        <w:t>深入推进法治政府建设，全面提升全市城市管理系统依法行政水平</w:t>
      </w:r>
      <w:r>
        <w:rPr>
          <w:rFonts w:hint="eastAsia" w:ascii="Times New Roman" w:hAnsi="Times New Roman" w:eastAsia="仿宋_GB2312" w:cs="Times New Roman"/>
          <w:b w:val="0"/>
          <w:color w:val="000000"/>
          <w:spacing w:val="0"/>
          <w:sz w:val="32"/>
          <w:szCs w:val="32"/>
          <w:highlight w:val="none"/>
          <w:lang w:val="en-US" w:eastAsia="zh-CN"/>
        </w:rPr>
        <w:t>：</w:t>
      </w:r>
    </w:p>
    <w:p w14:paraId="5D0D43D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color w:val="000000"/>
          <w:spacing w:val="0"/>
          <w:kern w:val="2"/>
          <w:sz w:val="32"/>
          <w:szCs w:val="32"/>
          <w:highlight w:val="none"/>
          <w:lang w:val="en-US" w:eastAsia="zh-CN" w:bidi="ar-SA"/>
        </w:rPr>
      </w:pPr>
      <w:r>
        <w:rPr>
          <w:rFonts w:hint="eastAsia" w:ascii="楷体_GB2312" w:hAnsi="楷体_GB2312" w:eastAsia="楷体_GB2312" w:cs="楷体_GB2312"/>
          <w:b w:val="0"/>
          <w:color w:val="000000"/>
          <w:spacing w:val="0"/>
          <w:kern w:val="2"/>
          <w:sz w:val="32"/>
          <w:szCs w:val="32"/>
          <w:highlight w:val="none"/>
          <w:lang w:val="en-US" w:eastAsia="zh-CN" w:bidi="ar-SA"/>
        </w:rPr>
        <w:t>（一）强化立法供给夯实基础</w:t>
      </w:r>
    </w:p>
    <w:p w14:paraId="25CAB02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default" w:ascii="Times New Roman" w:hAnsi="Times New Roman" w:eastAsia="仿宋_GB2312" w:cs="Times New Roman"/>
          <w:b w:val="0"/>
          <w:color w:val="000000"/>
          <w:spacing w:val="0"/>
          <w:sz w:val="32"/>
          <w:szCs w:val="32"/>
          <w:highlight w:val="none"/>
          <w:lang w:val="en-US" w:eastAsia="zh-CN"/>
        </w:rPr>
      </w:pPr>
      <w:r>
        <w:rPr>
          <w:rFonts w:hint="eastAsia" w:ascii="Times New Roman" w:hAnsi="Times New Roman" w:eastAsia="仿宋_GB2312" w:cs="Times New Roman"/>
          <w:b/>
          <w:bCs/>
          <w:color w:val="000000"/>
          <w:spacing w:val="0"/>
          <w:sz w:val="32"/>
          <w:szCs w:val="32"/>
          <w:highlight w:val="none"/>
          <w:lang w:val="en-US" w:eastAsia="zh-CN"/>
        </w:rPr>
        <w:t>一是推进重点立法项目。</w:t>
      </w:r>
      <w:r>
        <w:rPr>
          <w:rFonts w:hint="default" w:ascii="Times New Roman" w:hAnsi="Times New Roman" w:eastAsia="仿宋_GB2312" w:cs="Times New Roman"/>
          <w:b w:val="0"/>
          <w:color w:val="000000"/>
          <w:spacing w:val="0"/>
          <w:sz w:val="32"/>
          <w:szCs w:val="32"/>
          <w:highlight w:val="none"/>
          <w:lang w:val="en-US" w:eastAsia="zh-CN"/>
        </w:rPr>
        <w:t>加快《苏州市建筑垃圾管理条例》制定，推动施工单位违法处置、运输企业失信惩戒等内容纳入条款；开展《苏州市相对集中行政处罚权管理办法》立法后评估，优化制度实施效果。</w:t>
      </w:r>
      <w:r>
        <w:rPr>
          <w:rFonts w:hint="eastAsia" w:ascii="Times New Roman" w:hAnsi="Times New Roman" w:eastAsia="仿宋_GB2312" w:cs="Times New Roman"/>
          <w:b/>
          <w:bCs/>
          <w:color w:val="000000"/>
          <w:spacing w:val="0"/>
          <w:sz w:val="32"/>
          <w:szCs w:val="32"/>
          <w:highlight w:val="none"/>
          <w:lang w:val="en-US" w:eastAsia="zh-CN"/>
        </w:rPr>
        <w:t>二是</w:t>
      </w:r>
      <w:r>
        <w:rPr>
          <w:rFonts w:hint="default" w:ascii="Times New Roman" w:hAnsi="Times New Roman" w:eastAsia="仿宋_GB2312" w:cs="Times New Roman"/>
          <w:b/>
          <w:bCs/>
          <w:color w:val="000000"/>
          <w:spacing w:val="0"/>
          <w:sz w:val="32"/>
          <w:szCs w:val="32"/>
          <w:highlight w:val="none"/>
          <w:lang w:val="en-US" w:eastAsia="zh-CN"/>
        </w:rPr>
        <w:t>完善内部法治制度</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下半年出台《苏州市城市管理法治审核工作规范》；制定《苏州市城管局公职律师管理办法》及实施细则；推动出台《城管非现场执法管理实施办法》，为高频事项非现场执法提供规范指引。</w:t>
      </w:r>
    </w:p>
    <w:p w14:paraId="55D612C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color w:val="000000"/>
          <w:spacing w:val="0"/>
          <w:kern w:val="2"/>
          <w:sz w:val="32"/>
          <w:szCs w:val="32"/>
          <w:highlight w:val="none"/>
          <w:lang w:val="en-US" w:eastAsia="zh-CN" w:bidi="ar-SA"/>
        </w:rPr>
      </w:pPr>
      <w:r>
        <w:rPr>
          <w:rFonts w:hint="eastAsia" w:ascii="楷体_GB2312" w:hAnsi="楷体_GB2312" w:eastAsia="楷体_GB2312" w:cs="楷体_GB2312"/>
          <w:b w:val="0"/>
          <w:color w:val="000000"/>
          <w:spacing w:val="0"/>
          <w:kern w:val="2"/>
          <w:sz w:val="32"/>
          <w:szCs w:val="32"/>
          <w:highlight w:val="none"/>
          <w:lang w:val="en-US" w:eastAsia="zh-CN" w:bidi="ar-SA"/>
        </w:rPr>
        <w:t>（二）深化执法规范提升效能</w:t>
      </w:r>
    </w:p>
    <w:p w14:paraId="0675901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default" w:ascii="Times New Roman" w:hAnsi="Times New Roman" w:eastAsia="仿宋_GB2312" w:cs="Times New Roman"/>
          <w:b w:val="0"/>
          <w:color w:val="000000"/>
          <w:spacing w:val="0"/>
          <w:sz w:val="32"/>
          <w:szCs w:val="32"/>
          <w:highlight w:val="none"/>
          <w:lang w:val="en-US" w:eastAsia="zh-CN"/>
        </w:rPr>
      </w:pPr>
      <w:r>
        <w:rPr>
          <w:rFonts w:hint="eastAsia" w:ascii="Times New Roman" w:hAnsi="Times New Roman" w:eastAsia="仿宋_GB2312" w:cs="Times New Roman"/>
          <w:b/>
          <w:bCs/>
          <w:color w:val="000000"/>
          <w:spacing w:val="0"/>
          <w:sz w:val="32"/>
          <w:szCs w:val="32"/>
          <w:highlight w:val="none"/>
          <w:lang w:val="en-US" w:eastAsia="zh-CN"/>
        </w:rPr>
        <w:t>一是</w:t>
      </w:r>
      <w:r>
        <w:rPr>
          <w:rFonts w:hint="default" w:ascii="Times New Roman" w:hAnsi="Times New Roman" w:eastAsia="仿宋_GB2312" w:cs="Times New Roman"/>
          <w:b/>
          <w:bCs/>
          <w:color w:val="000000"/>
          <w:spacing w:val="0"/>
          <w:sz w:val="32"/>
          <w:szCs w:val="32"/>
          <w:highlight w:val="none"/>
          <w:lang w:val="en-US" w:eastAsia="zh-CN"/>
        </w:rPr>
        <w:t>规范重点领域执法</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建筑垃圾治理实施“夜间突击检查+大数据轨迹追踪”；违法建设建立新增违建快速处置与责任倒查机制，确保新交付小区“零新增”；流动摊点推广说理式执法、轻微免罚等柔性方式，防范执法冲突。</w:t>
      </w:r>
      <w:r>
        <w:rPr>
          <w:rFonts w:hint="eastAsia" w:ascii="Times New Roman" w:hAnsi="Times New Roman" w:eastAsia="仿宋_GB2312" w:cs="Times New Roman"/>
          <w:b/>
          <w:bCs/>
          <w:color w:val="000000"/>
          <w:spacing w:val="0"/>
          <w:sz w:val="32"/>
          <w:szCs w:val="32"/>
          <w:highlight w:val="none"/>
          <w:lang w:val="en-US" w:eastAsia="zh-CN"/>
        </w:rPr>
        <w:t>二是</w:t>
      </w:r>
      <w:r>
        <w:rPr>
          <w:rFonts w:hint="default" w:ascii="Times New Roman" w:hAnsi="Times New Roman" w:eastAsia="仿宋_GB2312" w:cs="Times New Roman"/>
          <w:b/>
          <w:bCs/>
          <w:color w:val="000000"/>
          <w:spacing w:val="0"/>
          <w:sz w:val="32"/>
          <w:szCs w:val="32"/>
          <w:highlight w:val="none"/>
          <w:lang w:val="en-US" w:eastAsia="zh-CN"/>
        </w:rPr>
        <w:t>优化执法体制机制</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开展执法体制改革专项调研，梳理堵点难点；建立重大复杂案件管辖与查办规范，强化跨部门、跨区域协同；深度融入长三角一体化执法协作，推动机制共建与行动联动。</w:t>
      </w:r>
      <w:r>
        <w:rPr>
          <w:rFonts w:hint="eastAsia" w:ascii="Times New Roman" w:hAnsi="Times New Roman" w:eastAsia="仿宋_GB2312" w:cs="Times New Roman"/>
          <w:b/>
          <w:bCs/>
          <w:color w:val="000000"/>
          <w:spacing w:val="0"/>
          <w:sz w:val="32"/>
          <w:szCs w:val="32"/>
          <w:highlight w:val="none"/>
          <w:lang w:val="en-US" w:eastAsia="zh-CN"/>
        </w:rPr>
        <w:t>三是</w:t>
      </w:r>
      <w:r>
        <w:rPr>
          <w:rFonts w:hint="default" w:ascii="Times New Roman" w:hAnsi="Times New Roman" w:eastAsia="仿宋_GB2312" w:cs="Times New Roman"/>
          <w:b/>
          <w:bCs/>
          <w:color w:val="000000"/>
          <w:spacing w:val="0"/>
          <w:sz w:val="32"/>
          <w:szCs w:val="32"/>
          <w:highlight w:val="none"/>
          <w:lang w:val="en-US" w:eastAsia="zh-CN"/>
        </w:rPr>
        <w:t>加强执法监督</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构建“评查—整改—提升”案卷评查闭环；推动执法记录仪统一接入市局平台，实现远程实时监督；整合资源开展“综合查一次”，提升监督集约化水平。</w:t>
      </w:r>
    </w:p>
    <w:p w14:paraId="0B8FAB5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color w:val="000000"/>
          <w:spacing w:val="0"/>
          <w:kern w:val="2"/>
          <w:sz w:val="32"/>
          <w:szCs w:val="32"/>
          <w:highlight w:val="none"/>
          <w:lang w:val="en-US" w:eastAsia="zh-CN" w:bidi="ar-SA"/>
        </w:rPr>
      </w:pPr>
      <w:r>
        <w:rPr>
          <w:rFonts w:hint="eastAsia" w:ascii="楷体_GB2312" w:hAnsi="楷体_GB2312" w:eastAsia="楷体_GB2312" w:cs="楷体_GB2312"/>
          <w:b w:val="0"/>
          <w:color w:val="000000"/>
          <w:spacing w:val="0"/>
          <w:kern w:val="2"/>
          <w:sz w:val="32"/>
          <w:szCs w:val="32"/>
          <w:highlight w:val="none"/>
          <w:lang w:val="en-US" w:eastAsia="zh-CN" w:bidi="ar-SA"/>
        </w:rPr>
        <w:t>（三）健全法制审核强化防控</w:t>
      </w:r>
    </w:p>
    <w:p w14:paraId="4357F8B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default" w:ascii="Times New Roman" w:hAnsi="Times New Roman" w:eastAsia="仿宋_GB2312" w:cs="Times New Roman"/>
          <w:b w:val="0"/>
          <w:color w:val="000000"/>
          <w:spacing w:val="0"/>
          <w:sz w:val="32"/>
          <w:szCs w:val="32"/>
          <w:highlight w:val="none"/>
          <w:lang w:val="en-US" w:eastAsia="zh-CN"/>
        </w:rPr>
      </w:pPr>
      <w:r>
        <w:rPr>
          <w:rFonts w:hint="eastAsia" w:ascii="Times New Roman" w:hAnsi="Times New Roman" w:eastAsia="仿宋_GB2312" w:cs="Times New Roman"/>
          <w:b/>
          <w:bCs/>
          <w:color w:val="000000"/>
          <w:spacing w:val="0"/>
          <w:sz w:val="32"/>
          <w:szCs w:val="32"/>
          <w:highlight w:val="none"/>
          <w:lang w:val="en-US" w:eastAsia="zh-CN"/>
        </w:rPr>
        <w:t>一是</w:t>
      </w:r>
      <w:r>
        <w:rPr>
          <w:rFonts w:hint="default" w:ascii="Times New Roman" w:hAnsi="Times New Roman" w:eastAsia="仿宋_GB2312" w:cs="Times New Roman"/>
          <w:b/>
          <w:bCs/>
          <w:color w:val="000000"/>
          <w:spacing w:val="0"/>
          <w:sz w:val="32"/>
          <w:szCs w:val="32"/>
          <w:highlight w:val="none"/>
          <w:lang w:val="en-US" w:eastAsia="zh-CN"/>
        </w:rPr>
        <w:t>规范审核流程</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建立免审合同目录和简易程序清单；推行交叉复核、盲审模式减少主观偏差；嵌入舆情风险提示和社会效益评估，提升审核全面性。</w:t>
      </w:r>
      <w:r>
        <w:rPr>
          <w:rFonts w:hint="eastAsia" w:ascii="Times New Roman" w:hAnsi="Times New Roman" w:eastAsia="仿宋_GB2312" w:cs="Times New Roman"/>
          <w:b/>
          <w:bCs/>
          <w:color w:val="000000"/>
          <w:spacing w:val="0"/>
          <w:sz w:val="32"/>
          <w:szCs w:val="32"/>
          <w:highlight w:val="none"/>
          <w:lang w:val="en-US" w:eastAsia="zh-CN"/>
        </w:rPr>
        <w:t>二是</w:t>
      </w:r>
      <w:r>
        <w:rPr>
          <w:rFonts w:hint="default" w:ascii="Times New Roman" w:hAnsi="Times New Roman" w:eastAsia="仿宋_GB2312" w:cs="Times New Roman"/>
          <w:b/>
          <w:bCs/>
          <w:color w:val="000000"/>
          <w:spacing w:val="0"/>
          <w:sz w:val="32"/>
          <w:szCs w:val="32"/>
          <w:highlight w:val="none"/>
          <w:lang w:val="en-US" w:eastAsia="zh-CN"/>
        </w:rPr>
        <w:t>提升审核效能</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创建“直通车”机制及时处理基层反馈；力争下半年出台《法治审核工作规范》，形成标准化制度成果。</w:t>
      </w:r>
    </w:p>
    <w:p w14:paraId="2AAFD30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color w:val="000000"/>
          <w:spacing w:val="0"/>
          <w:kern w:val="2"/>
          <w:sz w:val="32"/>
          <w:szCs w:val="32"/>
          <w:highlight w:val="none"/>
          <w:lang w:val="en-US" w:eastAsia="zh-CN" w:bidi="ar-SA"/>
        </w:rPr>
      </w:pPr>
      <w:r>
        <w:rPr>
          <w:rFonts w:hint="eastAsia" w:ascii="楷体_GB2312" w:hAnsi="楷体_GB2312" w:eastAsia="楷体_GB2312" w:cs="楷体_GB2312"/>
          <w:b w:val="0"/>
          <w:color w:val="000000"/>
          <w:spacing w:val="0"/>
          <w:kern w:val="2"/>
          <w:sz w:val="32"/>
          <w:szCs w:val="32"/>
          <w:highlight w:val="none"/>
          <w:lang w:val="en-US" w:eastAsia="zh-CN" w:bidi="ar-SA"/>
        </w:rPr>
        <w:t>（四）提升复议诉讼能力降风险</w:t>
      </w:r>
    </w:p>
    <w:p w14:paraId="079EBB9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color w:val="000000"/>
          <w:spacing w:val="0"/>
          <w:sz w:val="32"/>
          <w:szCs w:val="32"/>
          <w:highlight w:val="none"/>
          <w:lang w:val="en-US" w:eastAsia="zh-CN"/>
        </w:rPr>
      </w:pPr>
      <w:r>
        <w:rPr>
          <w:rFonts w:hint="default" w:ascii="Times New Roman" w:hAnsi="Times New Roman" w:eastAsia="仿宋_GB2312" w:cs="Times New Roman"/>
          <w:b w:val="0"/>
          <w:color w:val="000000"/>
          <w:spacing w:val="0"/>
          <w:sz w:val="32"/>
          <w:szCs w:val="32"/>
          <w:highlight w:val="none"/>
          <w:lang w:val="en-US" w:eastAsia="zh-CN"/>
        </w:rPr>
        <w:t>实施复议诉讼“支前行动”</w:t>
      </w:r>
      <w:r>
        <w:rPr>
          <w:rFonts w:hint="eastAsia" w:ascii="Times New Roman" w:hAnsi="Times New Roman" w:eastAsia="仿宋_GB2312" w:cs="Times New Roman"/>
          <w:b w:val="0"/>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整合优质法制资源下沉一线，对区县重大复杂案件靠前介入指导证据固定与法律适用；参与答辩、应诉等关键环节协同应对；通过案例剖析与培训传导办案经验，强化基层能力。建立案件信息共享、快速响应及定期会商机制，确保行动常态高效。</w:t>
      </w:r>
    </w:p>
    <w:p w14:paraId="34EB53B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color w:val="000000"/>
          <w:spacing w:val="0"/>
          <w:kern w:val="2"/>
          <w:sz w:val="32"/>
          <w:szCs w:val="32"/>
          <w:highlight w:val="none"/>
          <w:lang w:val="en-US" w:eastAsia="zh-CN" w:bidi="ar-SA"/>
        </w:rPr>
      </w:pPr>
      <w:r>
        <w:rPr>
          <w:rFonts w:hint="eastAsia" w:ascii="楷体_GB2312" w:hAnsi="楷体_GB2312" w:eastAsia="楷体_GB2312" w:cs="楷体_GB2312"/>
          <w:b w:val="0"/>
          <w:color w:val="000000"/>
          <w:spacing w:val="0"/>
          <w:kern w:val="2"/>
          <w:sz w:val="32"/>
          <w:szCs w:val="32"/>
          <w:highlight w:val="none"/>
          <w:lang w:val="en-US" w:eastAsia="zh-CN" w:bidi="ar-SA"/>
        </w:rPr>
        <w:t>（五）加强公职律师队伍强支撑</w:t>
      </w:r>
    </w:p>
    <w:p w14:paraId="7E38F50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default" w:ascii="Times New Roman" w:hAnsi="Times New Roman" w:eastAsia="仿宋_GB2312" w:cs="Times New Roman"/>
          <w:b w:val="0"/>
          <w:color w:val="000000"/>
          <w:spacing w:val="0"/>
          <w:sz w:val="32"/>
          <w:szCs w:val="32"/>
          <w:highlight w:val="none"/>
          <w:lang w:val="en-US" w:eastAsia="zh-CN"/>
        </w:rPr>
      </w:pPr>
      <w:r>
        <w:rPr>
          <w:rFonts w:hint="eastAsia" w:ascii="Times New Roman" w:hAnsi="Times New Roman" w:eastAsia="仿宋_GB2312" w:cs="Times New Roman"/>
          <w:b/>
          <w:bCs/>
          <w:color w:val="000000"/>
          <w:spacing w:val="0"/>
          <w:sz w:val="32"/>
          <w:szCs w:val="32"/>
          <w:highlight w:val="none"/>
          <w:lang w:val="en-US" w:eastAsia="zh-CN"/>
        </w:rPr>
        <w:t>一是</w:t>
      </w:r>
      <w:r>
        <w:rPr>
          <w:rFonts w:hint="default" w:ascii="Times New Roman" w:hAnsi="Times New Roman" w:eastAsia="仿宋_GB2312" w:cs="Times New Roman"/>
          <w:b/>
          <w:bCs/>
          <w:color w:val="000000"/>
          <w:spacing w:val="0"/>
          <w:sz w:val="32"/>
          <w:szCs w:val="32"/>
          <w:highlight w:val="none"/>
          <w:lang w:val="en-US" w:eastAsia="zh-CN"/>
        </w:rPr>
        <w:t>完善履职机制</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制定公职律师履职清单与负面清单；推行“公职律师牵头复杂案件办理”机制，建立“公职律师+业务骨干”联合攻关小组，赋予“法治督察员”职能。</w:t>
      </w:r>
      <w:r>
        <w:rPr>
          <w:rFonts w:hint="eastAsia" w:ascii="Times New Roman" w:hAnsi="Times New Roman" w:eastAsia="仿宋_GB2312" w:cs="Times New Roman"/>
          <w:b/>
          <w:bCs/>
          <w:color w:val="000000"/>
          <w:spacing w:val="0"/>
          <w:sz w:val="32"/>
          <w:szCs w:val="32"/>
          <w:highlight w:val="none"/>
          <w:lang w:val="en-US" w:eastAsia="zh-CN"/>
        </w:rPr>
        <w:t>二是</w:t>
      </w:r>
      <w:r>
        <w:rPr>
          <w:rFonts w:hint="default" w:ascii="Times New Roman" w:hAnsi="Times New Roman" w:eastAsia="仿宋_GB2312" w:cs="Times New Roman"/>
          <w:b/>
          <w:bCs/>
          <w:color w:val="000000"/>
          <w:spacing w:val="0"/>
          <w:sz w:val="32"/>
          <w:szCs w:val="32"/>
          <w:highlight w:val="none"/>
          <w:lang w:val="en-US" w:eastAsia="zh-CN"/>
        </w:rPr>
        <w:t>强化赋能激励</w:t>
      </w:r>
      <w:r>
        <w:rPr>
          <w:rFonts w:hint="eastAsia" w:ascii="Times New Roman" w:hAnsi="Times New Roman" w:eastAsia="仿宋_GB2312" w:cs="Times New Roman"/>
          <w:b/>
          <w:bCs/>
          <w:color w:val="000000"/>
          <w:spacing w:val="0"/>
          <w:sz w:val="32"/>
          <w:szCs w:val="32"/>
          <w:highlight w:val="none"/>
          <w:lang w:val="en-US" w:eastAsia="zh-CN"/>
        </w:rPr>
        <w:t>。</w:t>
      </w:r>
      <w:r>
        <w:rPr>
          <w:rFonts w:hint="default" w:ascii="Times New Roman" w:hAnsi="Times New Roman" w:eastAsia="仿宋_GB2312" w:cs="Times New Roman"/>
          <w:b w:val="0"/>
          <w:color w:val="000000"/>
          <w:spacing w:val="0"/>
          <w:sz w:val="32"/>
          <w:szCs w:val="32"/>
          <w:highlight w:val="none"/>
          <w:lang w:val="en-US" w:eastAsia="zh-CN"/>
        </w:rPr>
        <w:t>搭建内部交流与外部协作平台，建立月度案例研讨会；将工作量化纳入考核，开辟“业务专家”晋升通道；建立履职容错机制，推动公职律师担任“法治讲师”开设微课堂。</w:t>
      </w:r>
    </w:p>
    <w:p w14:paraId="57BB8DB2">
      <w:pPr>
        <w:pStyle w:val="2"/>
      </w:pPr>
    </w:p>
    <w:sectPr>
      <w:footerReference r:id="rId3" w:type="default"/>
      <w:pgSz w:w="11906" w:h="16838"/>
      <w:pgMar w:top="2098" w:right="1531" w:bottom="2098" w:left="1531" w:header="851" w:footer="130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宋体"/>
    <w:panose1 w:val="00000000000000000000"/>
    <w:charset w:val="86"/>
    <w:family w:val="auto"/>
    <w:pitch w:val="default"/>
    <w:sig w:usb0="00000000" w:usb1="00000000" w:usb2="00000000" w:usb3="00000000" w:csb0="00040000" w:csb1="00000000"/>
  </w:font>
  <w:font w:name="创艺简仿宋">
    <w:altName w:val="黑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30BB5">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8CA65">
                          <w:pPr>
                            <w:pStyle w:val="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078CA65">
                    <w:pPr>
                      <w:pStyle w:val="9"/>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wODFjNmEzNTAzMjZkMmM2ZmYxODM1ZGM1MTliZjgifQ=="/>
  </w:docVars>
  <w:rsids>
    <w:rsidRoot w:val="2D7A1616"/>
    <w:rsid w:val="000001B8"/>
    <w:rsid w:val="000303A6"/>
    <w:rsid w:val="00294D06"/>
    <w:rsid w:val="003101AF"/>
    <w:rsid w:val="0032494E"/>
    <w:rsid w:val="00491A13"/>
    <w:rsid w:val="00564121"/>
    <w:rsid w:val="005B09BF"/>
    <w:rsid w:val="005D2A59"/>
    <w:rsid w:val="005F2CC9"/>
    <w:rsid w:val="006A038A"/>
    <w:rsid w:val="007D0FB1"/>
    <w:rsid w:val="009B2056"/>
    <w:rsid w:val="009E2E6C"/>
    <w:rsid w:val="00A40DA2"/>
    <w:rsid w:val="00A90622"/>
    <w:rsid w:val="00AB7407"/>
    <w:rsid w:val="00B66F34"/>
    <w:rsid w:val="00B743FE"/>
    <w:rsid w:val="00B82C1F"/>
    <w:rsid w:val="00B92559"/>
    <w:rsid w:val="00BE6C08"/>
    <w:rsid w:val="00C71F9D"/>
    <w:rsid w:val="00C86965"/>
    <w:rsid w:val="00D4616B"/>
    <w:rsid w:val="00E10B1D"/>
    <w:rsid w:val="00EC1337"/>
    <w:rsid w:val="00F5394D"/>
    <w:rsid w:val="00FB507A"/>
    <w:rsid w:val="05E17E8C"/>
    <w:rsid w:val="08206641"/>
    <w:rsid w:val="13842462"/>
    <w:rsid w:val="27187B67"/>
    <w:rsid w:val="2D7A1616"/>
    <w:rsid w:val="3C697EEA"/>
    <w:rsid w:val="428F488B"/>
    <w:rsid w:val="46A177ED"/>
    <w:rsid w:val="52472897"/>
    <w:rsid w:val="5F5B0C3B"/>
    <w:rsid w:val="6DF5784D"/>
    <w:rsid w:val="6EB76484"/>
    <w:rsid w:val="71EB41F8"/>
    <w:rsid w:val="7AEE26A3"/>
    <w:rsid w:val="7C9E2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next w:val="1"/>
    <w:qFormat/>
    <w:uiPriority w:val="0"/>
    <w:pPr>
      <w:spacing w:line="520" w:lineRule="exact"/>
      <w:ind w:left="570"/>
    </w:pPr>
    <w:rPr>
      <w:rFonts w:ascii="方正仿宋简体" w:hAnsi="创艺简仿宋" w:eastAsia="方正仿宋简体"/>
      <w:sz w:val="24"/>
    </w:rPr>
  </w:style>
  <w:style w:type="paragraph" w:styleId="6">
    <w:name w:val="Normal Indent"/>
    <w:basedOn w:val="1"/>
    <w:qFormat/>
    <w:uiPriority w:val="99"/>
    <w:pPr>
      <w:ind w:firstLine="880" w:firstLineChars="200"/>
    </w:pPr>
  </w:style>
  <w:style w:type="paragraph" w:styleId="7">
    <w:name w:val="annotation text"/>
    <w:basedOn w:val="1"/>
    <w:link w:val="20"/>
    <w:qFormat/>
    <w:uiPriority w:val="0"/>
    <w:pPr>
      <w:jc w:val="left"/>
    </w:pPr>
  </w:style>
  <w:style w:type="paragraph" w:styleId="8">
    <w:name w:val="Body Text"/>
    <w:qFormat/>
    <w:uiPriority w:val="0"/>
    <w:pPr>
      <w:spacing w:line="560" w:lineRule="exact"/>
      <w:ind w:firstLine="630" w:firstLineChars="200"/>
    </w:pPr>
    <w:rPr>
      <w:rFonts w:ascii="仿宋_GB2312" w:hAnsi="仿宋_GB2312" w:eastAsia="仿宋_GB2312" w:cs="Times New Roman"/>
      <w:spacing w:val="-6"/>
      <w:sz w:val="3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annotation subject"/>
    <w:basedOn w:val="7"/>
    <w:next w:val="7"/>
    <w:link w:val="21"/>
    <w:uiPriority w:val="0"/>
    <w:rPr>
      <w:b/>
      <w:bCs/>
    </w:r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BodyText1I"/>
    <w:basedOn w:val="18"/>
    <w:qFormat/>
    <w:uiPriority w:val="0"/>
    <w:pPr>
      <w:ind w:firstLine="420" w:firstLineChars="100"/>
    </w:pPr>
    <w:rPr>
      <w:rFonts w:ascii="Times New Roman" w:hAnsi="Times New Roman"/>
    </w:rPr>
  </w:style>
  <w:style w:type="paragraph" w:customStyle="1" w:styleId="18">
    <w:name w:val="BodyText"/>
    <w:basedOn w:val="1"/>
    <w:qFormat/>
    <w:uiPriority w:val="0"/>
    <w:pPr>
      <w:spacing w:after="120"/>
    </w:pPr>
  </w:style>
  <w:style w:type="paragraph" w:customStyle="1" w:styleId="19">
    <w:name w:val="NormalIndent"/>
    <w:basedOn w:val="1"/>
    <w:qFormat/>
    <w:uiPriority w:val="0"/>
    <w:pPr>
      <w:widowControl/>
      <w:ind w:firstLine="420"/>
      <w:textAlignment w:val="baseline"/>
    </w:pPr>
    <w:rPr>
      <w:sz w:val="20"/>
    </w:rPr>
  </w:style>
  <w:style w:type="character" w:customStyle="1" w:styleId="20">
    <w:name w:val="批注文字 字符"/>
    <w:basedOn w:val="14"/>
    <w:link w:val="7"/>
    <w:qFormat/>
    <w:uiPriority w:val="0"/>
    <w:rPr>
      <w:rFonts w:ascii="Calibri" w:hAnsi="Calibri"/>
      <w:kern w:val="2"/>
      <w:sz w:val="21"/>
      <w:szCs w:val="24"/>
    </w:rPr>
  </w:style>
  <w:style w:type="character" w:customStyle="1" w:styleId="21">
    <w:name w:val="批注主题 字符"/>
    <w:basedOn w:val="20"/>
    <w:link w:val="12"/>
    <w:qFormat/>
    <w:uiPriority w:val="0"/>
    <w:rPr>
      <w:rFonts w:ascii="Calibri" w:hAnsi="Calibr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4933</Words>
  <Characters>5118</Characters>
  <Lines>36</Lines>
  <Paragraphs>10</Paragraphs>
  <TotalTime>2</TotalTime>
  <ScaleCrop>false</ScaleCrop>
  <LinksUpToDate>false</LinksUpToDate>
  <CharactersWithSpaces>5123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2022-11-29T06:22:00Z</dcterms:created>
  <dc:creator>admin</dc:creator>
  <cp:lastModifiedBy>漫步人间</cp:lastModifiedBy>
  <cp:lastPrinted>2026-01-28T06:26:08Z</cp:lastPrinted>
  <dcterms:modified xsi:type="dcterms:W3CDTF">2026-01-28T06:49:34Z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0CF6FD33F46448429242D1FA019BFD51</vt:lpwstr>
  </property>
  <property fmtid="{D5CDD505-2E9C-101B-9397-08002B2CF9AE}" pid="4" name="KSOTemplateDocerSaveRecord">
    <vt:lpwstr>eyJoZGlkIjoiNWRmY2IyZDcxNzc5ZDA2NTQxMDU4ZmI3ODFkNzBjNzUiLCJ1c2VySWQiOiI4MDI4NjIyMTgifQ==</vt:lpwstr>
  </property>
</Properties>
</file>