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BBE6" w14:textId="0D6DEB05" w:rsidR="008706A6" w:rsidRPr="003135E8" w:rsidRDefault="003135E8" w:rsidP="00003A21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3135E8">
        <w:rPr>
          <w:rFonts w:ascii="黑体" w:eastAsia="黑体" w:hAnsi="黑体" w:hint="eastAsia"/>
          <w:sz w:val="32"/>
          <w:szCs w:val="32"/>
        </w:rPr>
        <w:t>附件</w:t>
      </w:r>
    </w:p>
    <w:p w14:paraId="1FDF974D" w14:textId="77777777" w:rsidR="00153D26" w:rsidRPr="00153D26" w:rsidRDefault="00153D26" w:rsidP="00153D2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53D26">
        <w:rPr>
          <w:rFonts w:ascii="方正小标宋简体" w:eastAsia="方正小标宋简体" w:hint="eastAsia"/>
          <w:sz w:val="44"/>
          <w:szCs w:val="44"/>
        </w:rPr>
        <w:t>《苏州市城市市容和环境卫生管理条例》</w:t>
      </w:r>
    </w:p>
    <w:p w14:paraId="70E25F96" w14:textId="5FBC2EA0" w:rsidR="003135E8" w:rsidRDefault="00153D26" w:rsidP="00153D2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53D26">
        <w:rPr>
          <w:rFonts w:ascii="方正小标宋简体" w:eastAsia="方正小标宋简体" w:hint="eastAsia"/>
          <w:sz w:val="44"/>
          <w:szCs w:val="44"/>
        </w:rPr>
        <w:t>市</w:t>
      </w:r>
      <w:proofErr w:type="gramStart"/>
      <w:r w:rsidRPr="00153D26">
        <w:rPr>
          <w:rFonts w:ascii="方正小标宋简体" w:eastAsia="方正小标宋简体" w:hint="eastAsia"/>
          <w:sz w:val="44"/>
          <w:szCs w:val="44"/>
        </w:rPr>
        <w:t>设行政</w:t>
      </w:r>
      <w:proofErr w:type="gramEnd"/>
      <w:r w:rsidRPr="00153D26">
        <w:rPr>
          <w:rFonts w:ascii="方正小标宋简体" w:eastAsia="方正小标宋简体" w:hint="eastAsia"/>
          <w:sz w:val="44"/>
          <w:szCs w:val="44"/>
        </w:rPr>
        <w:t>处罚裁量基准</w:t>
      </w:r>
    </w:p>
    <w:p w14:paraId="3DAF16CE" w14:textId="351516F3" w:rsidR="00153D26" w:rsidRPr="00B7691C" w:rsidRDefault="00B7691C" w:rsidP="00153D26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 w:rsidRPr="00B7691C">
        <w:rPr>
          <w:rFonts w:ascii="楷体_GB2312" w:eastAsia="楷体_GB2312" w:hint="eastAsia"/>
          <w:sz w:val="32"/>
          <w:szCs w:val="32"/>
        </w:rPr>
        <w:t>（征求意见稿）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738"/>
        <w:gridCol w:w="1221"/>
        <w:gridCol w:w="4802"/>
      </w:tblGrid>
      <w:tr w:rsidR="006A0CF7" w:rsidRPr="006A0CF7" w14:paraId="36810A60" w14:textId="77777777" w:rsidTr="00153D26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D32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编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 xml:space="preserve">    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F4A3" w14:textId="77777777" w:rsidR="00003A21" w:rsidRPr="006A0CF7" w:rsidRDefault="00003A21" w:rsidP="006B01B1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3202SZ135000</w:t>
            </w:r>
          </w:p>
        </w:tc>
      </w:tr>
      <w:tr w:rsidR="006A0CF7" w:rsidRPr="006A0CF7" w14:paraId="53C02185" w14:textId="77777777" w:rsidTr="00153D26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D3C7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行为名称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370A" w14:textId="1818A62D" w:rsidR="00003A21" w:rsidRPr="006A0CF7" w:rsidRDefault="00003A21" w:rsidP="006B01B1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对未及时拆除废弃的杆、管、箱等设施的处罚</w:t>
            </w:r>
          </w:p>
        </w:tc>
      </w:tr>
      <w:tr w:rsidR="006A0CF7" w:rsidRPr="006A0CF7" w14:paraId="70DE754F" w14:textId="77777777" w:rsidTr="00153D26">
        <w:trPr>
          <w:trHeight w:val="298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F94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法律依据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5C09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【地方性法规】《苏州市城市市容和环境卫生管理条例》</w:t>
            </w:r>
          </w:p>
          <w:p w14:paraId="3EDB82DC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第十九条第二款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 xml:space="preserve"> 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>杆、管、箱等设施所有人或者管理人应当完善权属等标志标识；存在破损、倾斜、附属设施缺失等现象的杆、管、箱等设施，所有人或者管理人应当及时整改；废弃的杆、管、箱等设施，所有人或者管理人应当及时拆除。</w:t>
            </w:r>
          </w:p>
          <w:p w14:paraId="6C937AE4" w14:textId="0638179A" w:rsidR="00003A21" w:rsidRPr="006A0CF7" w:rsidRDefault="00003A21" w:rsidP="00003A21">
            <w:pPr>
              <w:widowControl/>
              <w:spacing w:line="240" w:lineRule="atLeast"/>
              <w:ind w:firstLine="420"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第四十七条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 xml:space="preserve"> 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>违反本条例第十九条第二款规定，未及时拆除废弃的杆、管、箱等设施的，由城市管理行政主管部门责令限期改正；逾期不改正的，处以一千元以上五千元以下罚款。</w:t>
            </w:r>
          </w:p>
        </w:tc>
      </w:tr>
      <w:tr w:rsidR="006A0CF7" w:rsidRPr="006A0CF7" w14:paraId="761A87BD" w14:textId="77777777" w:rsidTr="00153D26">
        <w:trPr>
          <w:trHeight w:val="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5AE7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处罚种类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057E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罚款</w:t>
            </w:r>
          </w:p>
        </w:tc>
      </w:tr>
      <w:tr w:rsidR="006A0CF7" w:rsidRPr="006A0CF7" w14:paraId="24BEFA54" w14:textId="77777777" w:rsidTr="00153D26">
        <w:trPr>
          <w:trHeight w:val="20"/>
          <w:jc w:val="center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5D1C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裁量基准</w:t>
            </w:r>
          </w:p>
        </w:tc>
      </w:tr>
      <w:tr w:rsidR="006A0CF7" w:rsidRPr="006A0CF7" w14:paraId="6F0E5B8E" w14:textId="77777777" w:rsidTr="00153D26">
        <w:trPr>
          <w:trHeight w:val="2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256F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情形描述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0A7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10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只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(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10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米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)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2B87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裁量幅度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B11C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1000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-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2000</w:t>
            </w:r>
          </w:p>
        </w:tc>
      </w:tr>
      <w:tr w:rsidR="006A0CF7" w:rsidRPr="006A0CF7" w14:paraId="17A1739B" w14:textId="77777777" w:rsidTr="00153D26">
        <w:trPr>
          <w:trHeight w:val="2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555E" w14:textId="77777777" w:rsidR="00003A21" w:rsidRPr="006A0CF7" w:rsidRDefault="00003A21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B783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10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只</w:t>
            </w:r>
            <w:r w:rsidRPr="006A0CF7">
              <w:rPr>
                <w:rFonts w:ascii="仿宋_GB2312" w:hAnsi="Times New Roman" w:hint="eastAsia"/>
                <w:kern w:val="0"/>
                <w:szCs w:val="21"/>
                <w:lang w:bidi="ar"/>
              </w:rPr>
              <w:t>(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10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米</w:t>
            </w:r>
            <w:r w:rsidRPr="006A0CF7">
              <w:rPr>
                <w:rFonts w:ascii="仿宋_GB2312" w:hAnsi="Times New Roman" w:hint="eastAsia"/>
                <w:kern w:val="0"/>
                <w:szCs w:val="21"/>
                <w:lang w:bidi="ar"/>
              </w:rPr>
              <w:t>)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至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30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只</w:t>
            </w:r>
            <w:r w:rsidRPr="006A0CF7">
              <w:rPr>
                <w:rFonts w:ascii="仿宋_GB2312" w:hAnsi="Times New Roman" w:hint="eastAsia"/>
                <w:kern w:val="0"/>
                <w:szCs w:val="21"/>
                <w:lang w:bidi="ar"/>
              </w:rPr>
              <w:t>(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30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米</w:t>
            </w:r>
            <w:r w:rsidRPr="006A0CF7">
              <w:rPr>
                <w:rFonts w:ascii="仿宋_GB2312" w:hAnsi="Times New Roman" w:hint="eastAsia"/>
                <w:kern w:val="0"/>
                <w:szCs w:val="21"/>
                <w:lang w:bidi="ar"/>
              </w:rPr>
              <w:t>)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F78E" w14:textId="77777777" w:rsidR="00003A21" w:rsidRPr="006A0CF7" w:rsidRDefault="00003A21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C9B1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2000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-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4000</w:t>
            </w:r>
          </w:p>
        </w:tc>
      </w:tr>
      <w:tr w:rsidR="00153D26" w:rsidRPr="006A0CF7" w14:paraId="3B9D7847" w14:textId="77777777" w:rsidTr="00153D26">
        <w:trPr>
          <w:trHeight w:val="2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AECB" w14:textId="77777777" w:rsidR="00003A21" w:rsidRPr="006A0CF7" w:rsidRDefault="00003A21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5F09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30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只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(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30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米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)</w:t>
            </w:r>
            <w:r w:rsidRPr="006A0CF7">
              <w:rPr>
                <w:rFonts w:ascii="仿宋_GB2312" w:hAnsi="宋体" w:cs="宋体" w:hint="eastAsia"/>
                <w:kern w:val="0"/>
                <w:szCs w:val="21"/>
                <w:lang w:bidi="ar"/>
              </w:rPr>
              <w:t>以上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CC6F" w14:textId="77777777" w:rsidR="00003A21" w:rsidRPr="006A0CF7" w:rsidRDefault="00003A21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BB4D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4000</w:t>
            </w:r>
            <w:r w:rsidRPr="006A0CF7">
              <w:rPr>
                <w:rFonts w:ascii="仿宋_GB2312" w:hAnsi="Times New Roman" w:hint="eastAsia"/>
                <w:kern w:val="0"/>
                <w:szCs w:val="21"/>
                <w:lang w:bidi="ar"/>
              </w:rPr>
              <w:t>-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5000</w:t>
            </w:r>
          </w:p>
        </w:tc>
      </w:tr>
    </w:tbl>
    <w:p w14:paraId="0A937140" w14:textId="77777777" w:rsidR="00003A21" w:rsidRPr="006A0CF7" w:rsidRDefault="00003A21">
      <w:pPr>
        <w:widowControl/>
        <w:jc w:val="left"/>
        <w:rPr>
          <w:rFonts w:ascii="仿宋_GB2312" w:eastAsia="仿宋_GB2312"/>
          <w:sz w:val="32"/>
          <w:szCs w:val="32"/>
        </w:rPr>
      </w:pPr>
      <w:r w:rsidRPr="006A0CF7">
        <w:rPr>
          <w:rFonts w:ascii="仿宋_GB2312" w:eastAsia="仿宋_GB2312"/>
          <w:sz w:val="32"/>
          <w:szCs w:val="32"/>
        </w:rPr>
        <w:br w:type="page"/>
      </w:r>
    </w:p>
    <w:p w14:paraId="39E9BB2C" w14:textId="77777777" w:rsidR="00003A21" w:rsidRPr="006A0CF7" w:rsidRDefault="00003A21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13315" w:type="dxa"/>
        <w:jc w:val="center"/>
        <w:tblLook w:val="04A0" w:firstRow="1" w:lastRow="0" w:firstColumn="1" w:lastColumn="0" w:noHBand="0" w:noVBand="1"/>
      </w:tblPr>
      <w:tblGrid>
        <w:gridCol w:w="1140"/>
        <w:gridCol w:w="5654"/>
        <w:gridCol w:w="1985"/>
        <w:gridCol w:w="4536"/>
      </w:tblGrid>
      <w:tr w:rsidR="006A0CF7" w:rsidRPr="006A0CF7" w14:paraId="2442D042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E597B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编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 xml:space="preserve">    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2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B9CFF" w14:textId="77777777" w:rsidR="00003A21" w:rsidRPr="006A0CF7" w:rsidRDefault="00003A21" w:rsidP="006B01B1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3202SZ142000</w:t>
            </w:r>
          </w:p>
        </w:tc>
      </w:tr>
      <w:tr w:rsidR="006A0CF7" w:rsidRPr="006A0CF7" w14:paraId="25FAEF84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C43DA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行为名称</w:t>
            </w:r>
          </w:p>
        </w:tc>
        <w:tc>
          <w:tcPr>
            <w:tcW w:w="12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3CDCC" w14:textId="65BAB293" w:rsidR="00003A21" w:rsidRPr="006A0CF7" w:rsidRDefault="00003A21" w:rsidP="006B01B1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对在景观区域内划定的禁止水域垂钓、捕鱼、游泳的处罚</w:t>
            </w:r>
          </w:p>
        </w:tc>
      </w:tr>
      <w:tr w:rsidR="006A0CF7" w:rsidRPr="006A0CF7" w14:paraId="0042B8F1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5DB7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法律依据</w:t>
            </w:r>
          </w:p>
        </w:tc>
        <w:tc>
          <w:tcPr>
            <w:tcW w:w="12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9CCDD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【地方性法规】《苏州市城市市容和环境卫生管理条例》</w:t>
            </w:r>
          </w:p>
          <w:p w14:paraId="05750465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第三十二条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 xml:space="preserve"> 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>单位和个人应当自觉维护环境卫生，禁止下列影响公共场所环境卫生的行为：</w:t>
            </w:r>
          </w:p>
          <w:p w14:paraId="75363C74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（四）在景观区域内划定的禁止水域垂钓、捕鱼、游泳；</w:t>
            </w:r>
          </w:p>
          <w:p w14:paraId="3CBA1CF6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第四十九条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 xml:space="preserve"> 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>违反本条例第三十二条规定，有下列行为之一的，按照以下规定处理：</w:t>
            </w:r>
          </w:p>
          <w:p w14:paraId="2FEF0940" w14:textId="4AF5D5B8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（一）在景观区域内划定的禁止水域垂钓、捕鱼、游泳的，由城市管理行政主管部门责令改正，可以给予警告，并可以处以二十元以上二百元以下罚款；</w:t>
            </w:r>
          </w:p>
        </w:tc>
      </w:tr>
      <w:tr w:rsidR="006A0CF7" w:rsidRPr="006A0CF7" w14:paraId="1C05B825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D9D1E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处罚种类</w:t>
            </w:r>
          </w:p>
        </w:tc>
        <w:tc>
          <w:tcPr>
            <w:tcW w:w="12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137C7" w14:textId="73EDE163" w:rsidR="00003A21" w:rsidRPr="006A0CF7" w:rsidRDefault="00F22DC7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警告，</w:t>
            </w:r>
            <w:r w:rsidR="00003A21"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罚款</w:t>
            </w:r>
          </w:p>
        </w:tc>
      </w:tr>
      <w:tr w:rsidR="006A0CF7" w:rsidRPr="006A0CF7" w14:paraId="277C857E" w14:textId="77777777" w:rsidTr="00B7691C">
        <w:trPr>
          <w:trHeight w:val="20"/>
          <w:jc w:val="center"/>
        </w:trPr>
        <w:tc>
          <w:tcPr>
            <w:tcW w:w="13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617D2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裁量基准</w:t>
            </w:r>
          </w:p>
        </w:tc>
      </w:tr>
      <w:tr w:rsidR="006A0CF7" w:rsidRPr="006A0CF7" w14:paraId="6D0A3732" w14:textId="77777777" w:rsidTr="00B7691C">
        <w:trPr>
          <w:trHeight w:val="20"/>
          <w:jc w:val="center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A0112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情形描述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8089F" w14:textId="4BC159D4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第一次</w:t>
            </w:r>
            <w:r w:rsidR="00F22DC7"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且拒不改正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FA9FB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裁量幅度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8E371" w14:textId="4926CFBE" w:rsidR="00003A21" w:rsidRPr="006A0CF7" w:rsidRDefault="00F22DC7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Times New Roman" w:hAnsi="Times New Roman" w:hint="eastAsia"/>
                <w:kern w:val="0"/>
                <w:szCs w:val="21"/>
                <w:lang w:bidi="ar"/>
              </w:rPr>
              <w:t>警告</w:t>
            </w:r>
          </w:p>
        </w:tc>
      </w:tr>
      <w:tr w:rsidR="006A0CF7" w:rsidRPr="006A0CF7" w14:paraId="3B3E10E4" w14:textId="77777777" w:rsidTr="00B7691C">
        <w:trPr>
          <w:trHeight w:val="20"/>
          <w:jc w:val="center"/>
        </w:trPr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012A2" w14:textId="77777777" w:rsidR="00F22DC7" w:rsidRPr="006A0CF7" w:rsidRDefault="00F22DC7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795EF" w14:textId="39191B8B" w:rsidR="00F22DC7" w:rsidRPr="006A0CF7" w:rsidRDefault="00F22DC7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二次及以上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FDDCB" w14:textId="77777777" w:rsidR="00F22DC7" w:rsidRPr="006A0CF7" w:rsidRDefault="00F22DC7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CAB23" w14:textId="2E4A4AEE" w:rsidR="00F22DC7" w:rsidRPr="006A0CF7" w:rsidRDefault="00F22DC7" w:rsidP="006B01B1">
            <w:pPr>
              <w:widowControl/>
              <w:ind w:firstLine="420"/>
              <w:jc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 w:rsidRPr="006A0CF7">
              <w:rPr>
                <w:rFonts w:ascii="Times New Roman" w:hAnsi="Times New Roman" w:hint="eastAsia"/>
                <w:kern w:val="0"/>
                <w:szCs w:val="21"/>
                <w:lang w:bidi="ar"/>
              </w:rPr>
              <w:t>警告，并处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20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-</w:t>
            </w: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200</w:t>
            </w:r>
          </w:p>
        </w:tc>
      </w:tr>
    </w:tbl>
    <w:p w14:paraId="4F878F36" w14:textId="556C619E" w:rsidR="00003A21" w:rsidRPr="006A0CF7" w:rsidRDefault="00003A21">
      <w:pPr>
        <w:widowControl/>
        <w:jc w:val="left"/>
        <w:rPr>
          <w:rFonts w:ascii="仿宋_GB2312" w:eastAsia="仿宋_GB2312"/>
          <w:sz w:val="32"/>
          <w:szCs w:val="32"/>
        </w:rPr>
      </w:pPr>
      <w:r w:rsidRPr="006A0CF7">
        <w:rPr>
          <w:rFonts w:ascii="仿宋_GB2312" w:eastAsia="仿宋_GB2312"/>
          <w:sz w:val="32"/>
          <w:szCs w:val="32"/>
        </w:rPr>
        <w:br w:type="page"/>
      </w:r>
    </w:p>
    <w:p w14:paraId="4B031C75" w14:textId="77777777" w:rsidR="00003A21" w:rsidRPr="006A0CF7" w:rsidRDefault="00003A21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13031" w:type="dxa"/>
        <w:jc w:val="center"/>
        <w:tblLook w:val="04A0" w:firstRow="1" w:lastRow="0" w:firstColumn="1" w:lastColumn="0" w:noHBand="0" w:noVBand="1"/>
      </w:tblPr>
      <w:tblGrid>
        <w:gridCol w:w="1140"/>
        <w:gridCol w:w="1402"/>
        <w:gridCol w:w="7104"/>
        <w:gridCol w:w="1559"/>
        <w:gridCol w:w="1826"/>
      </w:tblGrid>
      <w:tr w:rsidR="006A0CF7" w:rsidRPr="006A0CF7" w14:paraId="316F7A7D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A525D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编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 xml:space="preserve">    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6B44B" w14:textId="77777777" w:rsidR="00003A21" w:rsidRPr="006A0CF7" w:rsidRDefault="00003A21" w:rsidP="006B01B1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Times New Roman" w:hAnsi="Times New Roman"/>
                <w:kern w:val="0"/>
                <w:szCs w:val="21"/>
                <w:lang w:bidi="ar"/>
              </w:rPr>
              <w:t>3202SZ140000</w:t>
            </w:r>
          </w:p>
        </w:tc>
      </w:tr>
      <w:tr w:rsidR="006A0CF7" w:rsidRPr="006A0CF7" w14:paraId="46435168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ACDB3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行为名称</w:t>
            </w:r>
          </w:p>
        </w:tc>
        <w:tc>
          <w:tcPr>
            <w:tcW w:w="1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22006" w14:textId="0F1E4D62" w:rsidR="00003A21" w:rsidRPr="006A0CF7" w:rsidRDefault="00003A21" w:rsidP="006B01B1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对在他人停放的车辆上擅自插放、散发、张贴宣传品的处罚</w:t>
            </w:r>
          </w:p>
        </w:tc>
      </w:tr>
      <w:tr w:rsidR="006A0CF7" w:rsidRPr="006A0CF7" w14:paraId="357FEC29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6EAB6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法律依据</w:t>
            </w:r>
          </w:p>
        </w:tc>
        <w:tc>
          <w:tcPr>
            <w:tcW w:w="1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8297B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【地方性法规】《苏州市城市市容和环境卫生管理条例》</w:t>
            </w:r>
          </w:p>
          <w:p w14:paraId="2BDC4726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第三十二条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 xml:space="preserve"> 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>单位和个人应当自觉维护环境卫生，禁止下列影响公共场所环境卫生的行为：</w:t>
            </w:r>
          </w:p>
          <w:p w14:paraId="3CA2531F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（五）在他人停放的车辆上擅自插放、散发、张贴宣传品；</w:t>
            </w:r>
          </w:p>
          <w:p w14:paraId="3A5BAFB1" w14:textId="77777777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  <w:szCs w:val="21"/>
                <w:lang w:bidi="ar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第四十九条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 xml:space="preserve"> </w:t>
            </w:r>
            <w:r w:rsidRPr="006A0CF7">
              <w:rPr>
                <w:rFonts w:ascii="仿宋_GB2312" w:hAnsi="等线" w:cs="宋体"/>
                <w:kern w:val="0"/>
                <w:szCs w:val="21"/>
                <w:lang w:bidi="ar"/>
              </w:rPr>
              <w:t>违反本条例第三十二条规定，有下列行为之一的，按照以下规定处理：</w:t>
            </w:r>
          </w:p>
          <w:p w14:paraId="7BB6F91E" w14:textId="6A6FF490" w:rsidR="00003A21" w:rsidRPr="006A0CF7" w:rsidRDefault="00003A21" w:rsidP="00003A21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（二）在他人停放的车辆上擅自插放、散发、张贴宣传品的，由城市管理行政主管部门责令改正，对个人处以五十元以上二百元以下罚款，对单位处以五百元以上一千元以下罚款。</w:t>
            </w:r>
          </w:p>
        </w:tc>
      </w:tr>
      <w:tr w:rsidR="006A0CF7" w:rsidRPr="006A0CF7" w14:paraId="527C8481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3A8E8" w14:textId="77777777" w:rsidR="00003A21" w:rsidRPr="006A0CF7" w:rsidRDefault="00003A21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处罚种类</w:t>
            </w:r>
          </w:p>
        </w:tc>
        <w:tc>
          <w:tcPr>
            <w:tcW w:w="1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36EC0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罚款</w:t>
            </w:r>
          </w:p>
        </w:tc>
      </w:tr>
      <w:tr w:rsidR="006A0CF7" w:rsidRPr="006A0CF7" w14:paraId="6C092C5C" w14:textId="77777777" w:rsidTr="00B7691C">
        <w:trPr>
          <w:trHeight w:val="20"/>
          <w:jc w:val="center"/>
        </w:trPr>
        <w:tc>
          <w:tcPr>
            <w:tcW w:w="13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F43104" w14:textId="77777777" w:rsidR="00003A21" w:rsidRPr="006A0CF7" w:rsidRDefault="00003A21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裁量基准</w:t>
            </w:r>
          </w:p>
        </w:tc>
      </w:tr>
      <w:tr w:rsidR="006A0CF7" w:rsidRPr="006A0CF7" w14:paraId="30DC0954" w14:textId="77777777" w:rsidTr="00B7691C">
        <w:trPr>
          <w:trHeight w:val="20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B152" w14:textId="77777777" w:rsidR="00100699" w:rsidRPr="006A0CF7" w:rsidRDefault="00100699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情形描述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83A9" w14:textId="1E36579C" w:rsidR="00100699" w:rsidRPr="006A0CF7" w:rsidRDefault="00100699" w:rsidP="00100699">
            <w:pPr>
              <w:widowControl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</w:rPr>
              <w:t>个人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5FD8" w14:textId="33438AA5" w:rsidR="00100699" w:rsidRPr="006A0CF7" w:rsidRDefault="00F22DC7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主要道路、重点地区和景观区域范围外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BF21" w14:textId="77777777" w:rsidR="00100699" w:rsidRPr="006A0CF7" w:rsidRDefault="00100699" w:rsidP="00100699">
            <w:pPr>
              <w:widowControl/>
              <w:ind w:firstLineChars="100" w:firstLine="210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裁量幅度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30C6" w14:textId="3718CFB1" w:rsidR="00100699" w:rsidRPr="006A0CF7" w:rsidRDefault="00863A14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</w:rPr>
              <w:t>5</w:t>
            </w:r>
            <w:r w:rsidRPr="006A0CF7">
              <w:rPr>
                <w:rFonts w:ascii="仿宋_GB2312" w:hAnsi="等线" w:cs="宋体"/>
                <w:kern w:val="0"/>
              </w:rPr>
              <w:t>0-100</w:t>
            </w:r>
          </w:p>
        </w:tc>
      </w:tr>
      <w:tr w:rsidR="006A0CF7" w:rsidRPr="006A0CF7" w14:paraId="02A35EF8" w14:textId="77777777" w:rsidTr="00B7691C">
        <w:trPr>
          <w:trHeight w:val="20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967D" w14:textId="77777777" w:rsidR="00100699" w:rsidRPr="006A0CF7" w:rsidRDefault="00100699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8F67" w14:textId="77777777" w:rsidR="00100699" w:rsidRPr="006A0CF7" w:rsidRDefault="00100699" w:rsidP="00100699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EB03" w14:textId="38A674C9" w:rsidR="00100699" w:rsidRPr="006A0CF7" w:rsidRDefault="00F22DC7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主要道路、重点地区和景观区域范围内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B55F" w14:textId="77777777" w:rsidR="00100699" w:rsidRPr="006A0CF7" w:rsidRDefault="00100699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CAD6" w14:textId="3CA0060A" w:rsidR="00100699" w:rsidRPr="006A0CF7" w:rsidRDefault="00863A14" w:rsidP="006B01B1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1</w:t>
            </w:r>
            <w:r w:rsidRPr="006A0CF7">
              <w:rPr>
                <w:rFonts w:ascii="仿宋_GB2312" w:hAnsi="Times New Roman"/>
                <w:kern w:val="0"/>
              </w:rPr>
              <w:t>00-200</w:t>
            </w:r>
          </w:p>
        </w:tc>
      </w:tr>
      <w:tr w:rsidR="006A0CF7" w:rsidRPr="006A0CF7" w14:paraId="5ADFD407" w14:textId="77777777" w:rsidTr="00B7691C">
        <w:trPr>
          <w:trHeight w:val="20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06BE" w14:textId="77777777" w:rsidR="00863A14" w:rsidRPr="006A0CF7" w:rsidRDefault="00863A14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8B5A" w14:textId="77777777" w:rsidR="00863A14" w:rsidRPr="006A0CF7" w:rsidRDefault="00863A14" w:rsidP="00863A14">
            <w:pPr>
              <w:widowControl/>
              <w:ind w:firstLineChars="200" w:firstLine="420"/>
              <w:rPr>
                <w:rFonts w:ascii="仿宋_GB2312" w:hAnsi="Times New Roman"/>
                <w:kern w:val="0"/>
              </w:rPr>
            </w:pPr>
          </w:p>
          <w:p w14:paraId="01EE636B" w14:textId="6E3FF896" w:rsidR="00863A14" w:rsidRPr="006A0CF7" w:rsidRDefault="00863A14" w:rsidP="00863A14">
            <w:pPr>
              <w:widowControl/>
              <w:ind w:firstLineChars="200" w:firstLine="420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单位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C2C9" w14:textId="6340EA97" w:rsidR="00863A14" w:rsidRPr="006A0CF7" w:rsidRDefault="00F22DC7" w:rsidP="006B01B1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主要道路、重点地区和景观区域范围外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5FDD" w14:textId="77777777" w:rsidR="00863A14" w:rsidRPr="006A0CF7" w:rsidRDefault="00863A14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6D60" w14:textId="012A3E9F" w:rsidR="00863A14" w:rsidRPr="006A0CF7" w:rsidRDefault="00863A14" w:rsidP="006B01B1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5</w:t>
            </w:r>
            <w:r w:rsidRPr="006A0CF7">
              <w:rPr>
                <w:rFonts w:ascii="仿宋_GB2312" w:hAnsi="Times New Roman"/>
                <w:kern w:val="0"/>
              </w:rPr>
              <w:t>00-700</w:t>
            </w:r>
          </w:p>
        </w:tc>
      </w:tr>
      <w:tr w:rsidR="006A0CF7" w:rsidRPr="006A0CF7" w14:paraId="3F5BA0F9" w14:textId="77777777" w:rsidTr="00B7691C">
        <w:trPr>
          <w:trHeight w:val="20"/>
          <w:jc w:val="center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3A7D" w14:textId="77777777" w:rsidR="00863A14" w:rsidRPr="006A0CF7" w:rsidRDefault="00863A14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FE23" w14:textId="0B058806" w:rsidR="00863A14" w:rsidRPr="006A0CF7" w:rsidRDefault="00863A14" w:rsidP="00863A14">
            <w:pPr>
              <w:widowControl/>
              <w:rPr>
                <w:rFonts w:ascii="仿宋_GB2312" w:hAnsi="Times New Roman"/>
                <w:kern w:val="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8A1A" w14:textId="2FDA1C8E" w:rsidR="00863A14" w:rsidRPr="006A0CF7" w:rsidRDefault="00F22DC7" w:rsidP="006B01B1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主要道路、重点地区和景观区域范围内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63B" w14:textId="77777777" w:rsidR="00863A14" w:rsidRPr="006A0CF7" w:rsidRDefault="00863A14" w:rsidP="006B01B1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36A8" w14:textId="4CD0B6B0" w:rsidR="00863A14" w:rsidRPr="006A0CF7" w:rsidRDefault="0005225F" w:rsidP="006B01B1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仿宋_GB2312" w:hAnsi="Times New Roman"/>
                <w:kern w:val="0"/>
              </w:rPr>
              <w:t>7</w:t>
            </w:r>
            <w:r w:rsidR="00863A14" w:rsidRPr="006A0CF7">
              <w:rPr>
                <w:rFonts w:ascii="仿宋_GB2312" w:hAnsi="Times New Roman"/>
                <w:kern w:val="0"/>
              </w:rPr>
              <w:t>00-100</w:t>
            </w:r>
            <w:r w:rsidRPr="006A0CF7">
              <w:rPr>
                <w:rFonts w:ascii="仿宋_GB2312" w:hAnsi="Times New Roman"/>
                <w:kern w:val="0"/>
              </w:rPr>
              <w:t>0</w:t>
            </w:r>
          </w:p>
        </w:tc>
      </w:tr>
    </w:tbl>
    <w:p w14:paraId="3D771AB4" w14:textId="77777777" w:rsidR="00003A21" w:rsidRPr="006A0CF7" w:rsidRDefault="00003A21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0537D364" w14:textId="07B3A035" w:rsidR="00100699" w:rsidRPr="006A0CF7" w:rsidRDefault="00100699">
      <w:pPr>
        <w:widowControl/>
        <w:jc w:val="left"/>
        <w:rPr>
          <w:rFonts w:ascii="仿宋_GB2312" w:eastAsia="仿宋_GB2312"/>
          <w:sz w:val="32"/>
          <w:szCs w:val="32"/>
        </w:rPr>
      </w:pPr>
      <w:r w:rsidRPr="006A0CF7">
        <w:rPr>
          <w:rFonts w:ascii="仿宋_GB2312" w:eastAsia="仿宋_GB2312"/>
          <w:sz w:val="32"/>
          <w:szCs w:val="32"/>
        </w:rPr>
        <w:br w:type="page"/>
      </w:r>
    </w:p>
    <w:tbl>
      <w:tblPr>
        <w:tblpPr w:leftFromText="180" w:rightFromText="180" w:horzAnchor="margin" w:tblpXSpec="center" w:tblpY="494"/>
        <w:tblW w:w="12748" w:type="dxa"/>
        <w:tblLook w:val="04A0" w:firstRow="1" w:lastRow="0" w:firstColumn="1" w:lastColumn="0" w:noHBand="0" w:noVBand="1"/>
      </w:tblPr>
      <w:tblGrid>
        <w:gridCol w:w="1140"/>
        <w:gridCol w:w="1260"/>
        <w:gridCol w:w="5670"/>
        <w:gridCol w:w="1559"/>
        <w:gridCol w:w="3119"/>
      </w:tblGrid>
      <w:tr w:rsidR="006A0CF7" w:rsidRPr="006A0CF7" w14:paraId="06EF9A3E" w14:textId="77777777" w:rsidTr="00B7691C">
        <w:trPr>
          <w:trHeight w:val="2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AAC41" w14:textId="77777777" w:rsidR="00100699" w:rsidRPr="006A0CF7" w:rsidRDefault="00100699" w:rsidP="00367A86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lastRenderedPageBreak/>
              <w:t>编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 xml:space="preserve">    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F013F" w14:textId="157E1AE5" w:rsidR="00100699" w:rsidRPr="006A0CF7" w:rsidRDefault="00100699" w:rsidP="00367A86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</w:p>
        </w:tc>
      </w:tr>
      <w:tr w:rsidR="006A0CF7" w:rsidRPr="006A0CF7" w14:paraId="588A6DBC" w14:textId="77777777" w:rsidTr="00B7691C">
        <w:trPr>
          <w:trHeight w:val="2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CF386" w14:textId="77777777" w:rsidR="00100699" w:rsidRPr="006A0CF7" w:rsidRDefault="00100699" w:rsidP="00367A86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行为名称</w:t>
            </w:r>
          </w:p>
        </w:tc>
        <w:tc>
          <w:tcPr>
            <w:tcW w:w="11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71B97" w14:textId="3C2B43CE" w:rsidR="00100699" w:rsidRPr="006A0CF7" w:rsidRDefault="00100699" w:rsidP="00367A86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对在主要街道两侧和重点地区的临河建筑物的屋顶、阳台和窗外堆放、吊挂、晾晒有碍市容的物品的处罚</w:t>
            </w:r>
          </w:p>
        </w:tc>
      </w:tr>
      <w:tr w:rsidR="006A0CF7" w:rsidRPr="006A0CF7" w14:paraId="2D7A0F06" w14:textId="77777777" w:rsidTr="00B7691C">
        <w:trPr>
          <w:trHeight w:val="2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0A521" w14:textId="77777777" w:rsidR="00100699" w:rsidRPr="006A0CF7" w:rsidRDefault="00100699" w:rsidP="00367A86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法律依据</w:t>
            </w:r>
          </w:p>
        </w:tc>
        <w:tc>
          <w:tcPr>
            <w:tcW w:w="11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6793E" w14:textId="77777777" w:rsidR="00100699" w:rsidRPr="006A0CF7" w:rsidRDefault="00100699" w:rsidP="00367A86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【地方性法规】《苏州市城市市容和环境卫生管理条例》</w:t>
            </w:r>
          </w:p>
          <w:p w14:paraId="1685F6C0" w14:textId="77777777" w:rsidR="00100699" w:rsidRPr="006A0CF7" w:rsidRDefault="00100699" w:rsidP="00367A86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第十八条 主要街道两侧和重点地区的临街、临河建筑物的屋顶、阳台和窗外不得堆放、吊挂、晾晒有碍市容的物品，平台、阳台内堆放的物品不得超出护栏的高度。</w:t>
            </w:r>
          </w:p>
          <w:p w14:paraId="10ABE4ED" w14:textId="2C57D235" w:rsidR="00100699" w:rsidRPr="006A0CF7" w:rsidRDefault="00100699" w:rsidP="00367A86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第四十六条 违反本条例第十八条规定，在主要街道两侧和重点地区的临河建筑物的屋顶、阳台和窗外堆放、吊挂、晾晒有碍市容的物品的，由城市管理行政主管部门责令限期改正、采取补救措施；逾期不改正的，给予警告，并可以对单位处以二百元以上二千元以下罚款，对个人处以五十元以上二百元以下罚款。</w:t>
            </w:r>
          </w:p>
        </w:tc>
      </w:tr>
      <w:tr w:rsidR="006A0CF7" w:rsidRPr="006A0CF7" w14:paraId="1879B6CD" w14:textId="77777777" w:rsidTr="00B7691C">
        <w:trPr>
          <w:trHeight w:val="2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F1220" w14:textId="77777777" w:rsidR="00100699" w:rsidRPr="006A0CF7" w:rsidRDefault="00100699" w:rsidP="00367A86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处罚种类</w:t>
            </w:r>
          </w:p>
        </w:tc>
        <w:tc>
          <w:tcPr>
            <w:tcW w:w="11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73142" w14:textId="619029C6" w:rsidR="00100699" w:rsidRPr="006A0CF7" w:rsidRDefault="0005225F" w:rsidP="00367A86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警告，</w:t>
            </w:r>
            <w:r w:rsidR="00100699"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罚款</w:t>
            </w:r>
          </w:p>
        </w:tc>
      </w:tr>
      <w:tr w:rsidR="006A0CF7" w:rsidRPr="006A0CF7" w14:paraId="4B286588" w14:textId="77777777" w:rsidTr="00B7691C">
        <w:trPr>
          <w:trHeight w:val="20"/>
        </w:trPr>
        <w:tc>
          <w:tcPr>
            <w:tcW w:w="12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699D6" w14:textId="77777777" w:rsidR="00100699" w:rsidRPr="006A0CF7" w:rsidRDefault="00100699" w:rsidP="00367A86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裁量基准</w:t>
            </w:r>
          </w:p>
        </w:tc>
      </w:tr>
      <w:tr w:rsidR="006A0CF7" w:rsidRPr="006A0CF7" w14:paraId="525A11B8" w14:textId="77777777" w:rsidTr="00B7691C">
        <w:trPr>
          <w:trHeight w:val="20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BF47C" w14:textId="77777777" w:rsidR="0005225F" w:rsidRPr="006A0CF7" w:rsidRDefault="0005225F" w:rsidP="00367A86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情形描述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402DB0" w14:textId="77777777" w:rsidR="0005225F" w:rsidRPr="006A0CF7" w:rsidRDefault="0005225F" w:rsidP="00367A86">
            <w:pPr>
              <w:widowControl/>
              <w:ind w:firstLineChars="200" w:firstLine="420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</w:rPr>
              <w:t>单位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3056" w14:textId="07A7F4BF" w:rsidR="0005225F" w:rsidRPr="005B5B6C" w:rsidRDefault="00F22DC7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第一次</w:t>
            </w:r>
            <w:r w:rsidR="00810C6E" w:rsidRPr="005B5B6C">
              <w:rPr>
                <w:rFonts w:ascii="宋体" w:eastAsia="宋体" w:hAnsi="宋体" w:cs="宋体" w:hint="eastAsia"/>
                <w:sz w:val="20"/>
                <w:szCs w:val="20"/>
              </w:rPr>
              <w:t>且拒不改正，未采取补救措施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9E0D50" w14:textId="77777777" w:rsidR="0005225F" w:rsidRPr="006A0CF7" w:rsidRDefault="0005225F" w:rsidP="00367A86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裁量幅度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18723" w14:textId="5164E6AD" w:rsidR="0005225F" w:rsidRPr="005B5B6C" w:rsidRDefault="0005225F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警告</w:t>
            </w:r>
          </w:p>
        </w:tc>
      </w:tr>
      <w:tr w:rsidR="006A0CF7" w:rsidRPr="006A0CF7" w14:paraId="365CF3BC" w14:textId="77777777" w:rsidTr="00B7691C">
        <w:trPr>
          <w:trHeight w:val="20"/>
        </w:trPr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6AF09" w14:textId="77777777" w:rsidR="0005225F" w:rsidRPr="006A0CF7" w:rsidRDefault="0005225F" w:rsidP="00367A86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05B42D" w14:textId="77777777" w:rsidR="0005225F" w:rsidRPr="006A0CF7" w:rsidRDefault="0005225F" w:rsidP="00367A86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DB63" w14:textId="4669DF7A" w:rsidR="006A0CF7" w:rsidRPr="006A0CF7" w:rsidRDefault="00810C6E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二次及以上，堆放、吊挂、晾晒位置</w:t>
            </w:r>
            <w:r w:rsidR="006A0CF7" w:rsidRPr="006A0CF7">
              <w:rPr>
                <w:rFonts w:ascii="宋体" w:eastAsia="宋体" w:hAnsi="宋体" w:cs="宋体" w:hint="eastAsia"/>
                <w:sz w:val="20"/>
                <w:szCs w:val="20"/>
              </w:rPr>
              <w:t>3处及以下，且</w:t>
            </w:r>
            <w:r w:rsidR="006A0CF7" w:rsidRPr="005B5B6C">
              <w:rPr>
                <w:rFonts w:ascii="宋体" w:eastAsia="宋体" w:hAnsi="宋体" w:cs="宋体" w:hint="eastAsia"/>
                <w:sz w:val="20"/>
                <w:szCs w:val="20"/>
              </w:rPr>
              <w:t>未对</w:t>
            </w:r>
            <w:r w:rsidR="006A0CF7" w:rsidRPr="006A0CF7">
              <w:rPr>
                <w:rFonts w:ascii="宋体" w:eastAsia="宋体" w:hAnsi="宋体" w:cs="宋体" w:hint="eastAsia"/>
                <w:sz w:val="20"/>
                <w:szCs w:val="20"/>
              </w:rPr>
              <w:t>临河建筑物或周边环境造成严重影响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CE4D1E" w14:textId="77777777" w:rsidR="0005225F" w:rsidRPr="006A0CF7" w:rsidRDefault="0005225F" w:rsidP="00367A86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13DCE" w14:textId="285130E8" w:rsidR="0005225F" w:rsidRPr="005B5B6C" w:rsidRDefault="006A0CF7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警告，并处</w:t>
            </w:r>
            <w:r w:rsidR="00810C6E" w:rsidRPr="005B5B6C">
              <w:rPr>
                <w:rFonts w:ascii="宋体" w:eastAsia="宋体" w:hAnsi="宋体" w:cs="宋体"/>
                <w:sz w:val="20"/>
                <w:szCs w:val="20"/>
              </w:rPr>
              <w:t>5</w:t>
            </w:r>
            <w:r w:rsidR="0005225F" w:rsidRPr="005B5B6C">
              <w:rPr>
                <w:rFonts w:ascii="宋体" w:eastAsia="宋体" w:hAnsi="宋体" w:cs="宋体"/>
                <w:sz w:val="20"/>
                <w:szCs w:val="20"/>
              </w:rPr>
              <w:t>00-1</w:t>
            </w:r>
            <w:r w:rsidR="00810C6E" w:rsidRPr="005B5B6C">
              <w:rPr>
                <w:rFonts w:ascii="宋体" w:eastAsia="宋体" w:hAnsi="宋体" w:cs="宋体"/>
                <w:sz w:val="20"/>
                <w:szCs w:val="20"/>
              </w:rPr>
              <w:t>0</w:t>
            </w:r>
            <w:r w:rsidR="0005225F" w:rsidRPr="005B5B6C">
              <w:rPr>
                <w:rFonts w:ascii="宋体" w:eastAsia="宋体" w:hAnsi="宋体" w:cs="宋体"/>
                <w:sz w:val="20"/>
                <w:szCs w:val="20"/>
              </w:rPr>
              <w:t>00</w:t>
            </w: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罚款</w:t>
            </w:r>
          </w:p>
        </w:tc>
      </w:tr>
      <w:tr w:rsidR="006A0CF7" w:rsidRPr="006A0CF7" w14:paraId="5A489A0C" w14:textId="77777777" w:rsidTr="00B7691C">
        <w:trPr>
          <w:trHeight w:val="20"/>
        </w:trPr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673EC" w14:textId="77777777" w:rsidR="0005225F" w:rsidRPr="006A0CF7" w:rsidRDefault="0005225F" w:rsidP="00367A86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4A0F" w14:textId="77777777" w:rsidR="0005225F" w:rsidRPr="006A0CF7" w:rsidRDefault="0005225F" w:rsidP="00367A86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86D" w14:textId="0B3CB6D1" w:rsidR="006A0CF7" w:rsidRPr="006A0CF7" w:rsidRDefault="00810C6E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二次及以上，</w:t>
            </w:r>
            <w:r w:rsidR="006A0CF7" w:rsidRPr="006A0CF7">
              <w:rPr>
                <w:rFonts w:ascii="宋体" w:eastAsia="宋体" w:hAnsi="宋体" w:cs="宋体" w:hint="eastAsia"/>
                <w:sz w:val="20"/>
                <w:szCs w:val="20"/>
              </w:rPr>
              <w:t>符合下列情形之一的：</w:t>
            </w:r>
          </w:p>
          <w:p w14:paraId="2881F7DA" w14:textId="73B2A323" w:rsidR="00810C6E" w:rsidRPr="006A0CF7" w:rsidRDefault="006A0CF7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6A0CF7">
              <w:rPr>
                <w:rFonts w:ascii="宋体" w:eastAsia="宋体" w:hAnsi="宋体" w:cs="宋体"/>
                <w:sz w:val="20"/>
                <w:szCs w:val="20"/>
              </w:rPr>
              <w:t>.</w:t>
            </w:r>
            <w:r w:rsidR="00810C6E" w:rsidRPr="006A0CF7">
              <w:rPr>
                <w:rFonts w:ascii="宋体" w:eastAsia="宋体" w:hAnsi="宋体" w:cs="宋体" w:hint="eastAsia"/>
                <w:sz w:val="20"/>
                <w:szCs w:val="20"/>
              </w:rPr>
              <w:t>堆放、吊挂、晾晒位置</w:t>
            </w: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共</w:t>
            </w:r>
            <w:r w:rsidR="00810C6E" w:rsidRPr="006A0CF7">
              <w:rPr>
                <w:rFonts w:ascii="宋体" w:eastAsia="宋体" w:hAnsi="宋体" w:cs="宋体" w:hint="eastAsia"/>
                <w:sz w:val="20"/>
                <w:szCs w:val="20"/>
              </w:rPr>
              <w:t>3处以上</w:t>
            </w: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；</w:t>
            </w:r>
          </w:p>
          <w:p w14:paraId="28AA0BC3" w14:textId="4287D7E4" w:rsidR="0005225F" w:rsidRPr="005B5B6C" w:rsidRDefault="006A0CF7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/>
                <w:sz w:val="20"/>
                <w:szCs w:val="20"/>
              </w:rPr>
              <w:t>2.</w:t>
            </w: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对</w:t>
            </w: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临河建筑物或周边环境造成严重影响。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920864" w14:textId="77777777" w:rsidR="0005225F" w:rsidRPr="006A0CF7" w:rsidRDefault="0005225F" w:rsidP="00367A86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A1EB" w14:textId="25A0E3D5" w:rsidR="0005225F" w:rsidRPr="005B5B6C" w:rsidRDefault="006A0CF7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警告，并处</w:t>
            </w:r>
            <w:r w:rsidR="0005225F" w:rsidRPr="005B5B6C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="00810C6E" w:rsidRPr="005B5B6C">
              <w:rPr>
                <w:rFonts w:ascii="宋体" w:eastAsia="宋体" w:hAnsi="宋体" w:cs="宋体"/>
                <w:sz w:val="20"/>
                <w:szCs w:val="20"/>
              </w:rPr>
              <w:t>0</w:t>
            </w:r>
            <w:r w:rsidR="0005225F" w:rsidRPr="005B5B6C">
              <w:rPr>
                <w:rFonts w:ascii="宋体" w:eastAsia="宋体" w:hAnsi="宋体" w:cs="宋体"/>
                <w:sz w:val="20"/>
                <w:szCs w:val="20"/>
              </w:rPr>
              <w:t>00-2000</w:t>
            </w: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罚款</w:t>
            </w:r>
          </w:p>
        </w:tc>
      </w:tr>
      <w:tr w:rsidR="006A0CF7" w:rsidRPr="006A0CF7" w14:paraId="03A77D2B" w14:textId="77777777" w:rsidTr="00B7691C">
        <w:trPr>
          <w:trHeight w:val="20"/>
        </w:trPr>
        <w:tc>
          <w:tcPr>
            <w:tcW w:w="11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4BD996" w14:textId="77777777" w:rsidR="0005225F" w:rsidRPr="006A0CF7" w:rsidRDefault="0005225F" w:rsidP="00367A86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72B94" w14:textId="59104A9E" w:rsidR="0005225F" w:rsidRPr="006A0CF7" w:rsidRDefault="0005225F" w:rsidP="00367A86">
            <w:pPr>
              <w:ind w:firstLineChars="200" w:firstLine="420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个人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AFAB" w14:textId="4E563251" w:rsidR="0005225F" w:rsidRPr="005B5B6C" w:rsidRDefault="00F22DC7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第一次且拒不改正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832A55" w14:textId="77777777" w:rsidR="0005225F" w:rsidRPr="006A0CF7" w:rsidRDefault="0005225F" w:rsidP="00367A86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D858" w14:textId="72ACD342" w:rsidR="0005225F" w:rsidRPr="005B5B6C" w:rsidRDefault="0005225F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警告</w:t>
            </w:r>
          </w:p>
        </w:tc>
      </w:tr>
      <w:tr w:rsidR="006A0CF7" w:rsidRPr="006A0CF7" w14:paraId="3309BEF8" w14:textId="77777777" w:rsidTr="00B7691C">
        <w:trPr>
          <w:trHeight w:val="20"/>
        </w:trPr>
        <w:tc>
          <w:tcPr>
            <w:tcW w:w="11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4636C9" w14:textId="77777777" w:rsidR="0005225F" w:rsidRPr="006A0CF7" w:rsidRDefault="0005225F" w:rsidP="00367A86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BE63" w14:textId="72A90421" w:rsidR="0005225F" w:rsidRPr="006A0CF7" w:rsidRDefault="0005225F" w:rsidP="00367A86">
            <w:pPr>
              <w:widowControl/>
              <w:ind w:firstLineChars="200" w:firstLine="420"/>
              <w:rPr>
                <w:rFonts w:ascii="仿宋_GB2312" w:hAnsi="Times New Roman"/>
                <w:kern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BF3F" w14:textId="7B1E24C1" w:rsidR="0005225F" w:rsidRPr="005B5B6C" w:rsidRDefault="0005225F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二次</w:t>
            </w:r>
            <w:r w:rsidR="00F22DC7" w:rsidRPr="005B5B6C">
              <w:rPr>
                <w:rFonts w:ascii="宋体" w:eastAsia="宋体" w:hAnsi="宋体" w:cs="宋体" w:hint="eastAsia"/>
                <w:sz w:val="20"/>
                <w:szCs w:val="20"/>
              </w:rPr>
              <w:t>及</w:t>
            </w: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以上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A5A20A" w14:textId="77777777" w:rsidR="0005225F" w:rsidRPr="006A0CF7" w:rsidRDefault="0005225F" w:rsidP="00367A86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1E6C" w14:textId="6B31833C" w:rsidR="0005225F" w:rsidRPr="005B5B6C" w:rsidRDefault="0005225F" w:rsidP="00367A86">
            <w:pPr>
              <w:widowControl/>
              <w:ind w:firstLine="42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警告，并处5</w:t>
            </w:r>
            <w:r w:rsidRPr="005B5B6C">
              <w:rPr>
                <w:rFonts w:ascii="宋体" w:eastAsia="宋体" w:hAnsi="宋体" w:cs="宋体"/>
                <w:sz w:val="20"/>
                <w:szCs w:val="20"/>
              </w:rPr>
              <w:t>0-200</w:t>
            </w: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罚款</w:t>
            </w:r>
          </w:p>
        </w:tc>
      </w:tr>
    </w:tbl>
    <w:p w14:paraId="00734A33" w14:textId="77777777" w:rsidR="00153D26" w:rsidRDefault="00153D26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627FE7DD" w14:textId="61A7E118" w:rsidR="00100699" w:rsidRPr="006A0CF7" w:rsidRDefault="00100699">
      <w:pPr>
        <w:widowControl/>
        <w:jc w:val="left"/>
        <w:rPr>
          <w:rFonts w:ascii="仿宋_GB2312" w:eastAsia="仿宋_GB2312"/>
          <w:sz w:val="32"/>
          <w:szCs w:val="32"/>
        </w:rPr>
      </w:pPr>
      <w:r w:rsidRPr="006A0CF7">
        <w:rPr>
          <w:rFonts w:ascii="仿宋_GB2312" w:eastAsia="仿宋_GB2312"/>
          <w:sz w:val="32"/>
          <w:szCs w:val="32"/>
        </w:rPr>
        <w:br w:type="page"/>
      </w:r>
    </w:p>
    <w:p w14:paraId="28BB265C" w14:textId="77777777" w:rsidR="00003A21" w:rsidRPr="006A0CF7" w:rsidRDefault="00003A21" w:rsidP="00003A21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12606" w:type="dxa"/>
        <w:jc w:val="center"/>
        <w:tblLook w:val="04A0" w:firstRow="1" w:lastRow="0" w:firstColumn="1" w:lastColumn="0" w:noHBand="0" w:noVBand="1"/>
      </w:tblPr>
      <w:tblGrid>
        <w:gridCol w:w="1140"/>
        <w:gridCol w:w="6647"/>
        <w:gridCol w:w="1417"/>
        <w:gridCol w:w="3402"/>
      </w:tblGrid>
      <w:tr w:rsidR="006A0CF7" w:rsidRPr="006A0CF7" w14:paraId="1A949C98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4DE11" w14:textId="77777777" w:rsidR="00100699" w:rsidRPr="006A0CF7" w:rsidRDefault="00100699" w:rsidP="006B01B1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编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 xml:space="preserve">    </w:t>
            </w: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号</w:t>
            </w:r>
          </w:p>
        </w:tc>
        <w:tc>
          <w:tcPr>
            <w:tcW w:w="1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7FF93" w14:textId="7D654AF7" w:rsidR="00100699" w:rsidRPr="006A0CF7" w:rsidRDefault="00100699" w:rsidP="006B01B1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</w:p>
        </w:tc>
      </w:tr>
      <w:tr w:rsidR="006A0CF7" w:rsidRPr="006A0CF7" w14:paraId="796012B5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8462A" w14:textId="77777777" w:rsidR="00100699" w:rsidRPr="006A0CF7" w:rsidRDefault="00100699" w:rsidP="00100699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行为名称</w:t>
            </w:r>
          </w:p>
        </w:tc>
        <w:tc>
          <w:tcPr>
            <w:tcW w:w="1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89605" w14:textId="7D328F04" w:rsidR="00100699" w:rsidRPr="006A0CF7" w:rsidRDefault="00100699" w:rsidP="00100699">
            <w:pPr>
              <w:widowControl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对户外广告设施设置期满，所有人或者管理人未拆除并恢复设置载体原状的处罚</w:t>
            </w:r>
          </w:p>
        </w:tc>
      </w:tr>
      <w:tr w:rsidR="006A0CF7" w:rsidRPr="006A0CF7" w14:paraId="5EB538A1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AA23C" w14:textId="77777777" w:rsidR="00100699" w:rsidRPr="006A0CF7" w:rsidRDefault="00100699" w:rsidP="00100699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法律依据</w:t>
            </w:r>
          </w:p>
        </w:tc>
        <w:tc>
          <w:tcPr>
            <w:tcW w:w="1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0B4EB" w14:textId="77777777" w:rsidR="00100699" w:rsidRPr="006A0CF7" w:rsidRDefault="00100699" w:rsidP="00100699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【地方性法规】《苏州市城市市容和环境卫生管理条例》</w:t>
            </w:r>
          </w:p>
          <w:p w14:paraId="1A1980FA" w14:textId="77777777" w:rsidR="00100699" w:rsidRPr="006A0CF7" w:rsidRDefault="00100699" w:rsidP="00100699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第二十五条第二款 户外广告设施设置期满的，所有人或者管理人应当拆除并恢复设置载体原状。</w:t>
            </w:r>
          </w:p>
          <w:p w14:paraId="0BA89DAA" w14:textId="5F75B5FC" w:rsidR="00100699" w:rsidRPr="006A0CF7" w:rsidRDefault="00100699" w:rsidP="00100699">
            <w:pPr>
              <w:widowControl/>
              <w:spacing w:line="240" w:lineRule="atLeast"/>
              <w:jc w:val="left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第四十八条 违反本条例第二十五条第二款规定，户外广告设施设置期满，所有人或者管理人未拆除并恢复设置载体原状的，由城市管理行政主管部门责令限期改正；逾期不改正的，处以二百元以上二千元以下罚款。</w:t>
            </w:r>
          </w:p>
        </w:tc>
      </w:tr>
      <w:tr w:rsidR="006A0CF7" w:rsidRPr="006A0CF7" w14:paraId="2F143143" w14:textId="77777777" w:rsidTr="00B7691C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A6954" w14:textId="77777777" w:rsidR="00100699" w:rsidRPr="006A0CF7" w:rsidRDefault="00100699" w:rsidP="00100699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处罚种类</w:t>
            </w:r>
          </w:p>
        </w:tc>
        <w:tc>
          <w:tcPr>
            <w:tcW w:w="114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7AA7B" w14:textId="77777777" w:rsidR="00100699" w:rsidRPr="006A0CF7" w:rsidRDefault="00100699" w:rsidP="00100699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罚款</w:t>
            </w:r>
          </w:p>
        </w:tc>
      </w:tr>
      <w:tr w:rsidR="006A0CF7" w:rsidRPr="006A0CF7" w14:paraId="4483978F" w14:textId="77777777" w:rsidTr="00B7691C">
        <w:trPr>
          <w:trHeight w:val="20"/>
          <w:jc w:val="center"/>
        </w:trPr>
        <w:tc>
          <w:tcPr>
            <w:tcW w:w="12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A57E" w14:textId="77777777" w:rsidR="00100699" w:rsidRPr="006A0CF7" w:rsidRDefault="00100699" w:rsidP="00100699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裁量基准</w:t>
            </w:r>
          </w:p>
        </w:tc>
      </w:tr>
      <w:tr w:rsidR="006A0CF7" w:rsidRPr="006A0CF7" w14:paraId="357C9DA5" w14:textId="77777777" w:rsidTr="00B7691C">
        <w:trPr>
          <w:trHeight w:val="20"/>
          <w:jc w:val="center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A190D" w14:textId="77777777" w:rsidR="006A0CF7" w:rsidRPr="006A0CF7" w:rsidRDefault="006A0CF7" w:rsidP="00863A14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情形描述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FC1DE" w14:textId="50421AA9" w:rsidR="006A0CF7" w:rsidRPr="005B5B6C" w:rsidRDefault="006A0CF7" w:rsidP="005B5B6C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户外广告设施已拆除，但未恢复</w:t>
            </w:r>
            <w:r w:rsidRPr="006A0CF7">
              <w:rPr>
                <w:rFonts w:ascii="宋体" w:eastAsia="宋体" w:hAnsi="宋体" w:cs="宋体" w:hint="eastAsia"/>
                <w:sz w:val="20"/>
                <w:szCs w:val="20"/>
              </w:rPr>
              <w:t>设置载体原状的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E3D39B1" w14:textId="77777777" w:rsidR="006A0CF7" w:rsidRPr="006A0CF7" w:rsidRDefault="006A0CF7" w:rsidP="00863A14">
            <w:pPr>
              <w:widowControl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  <w:szCs w:val="21"/>
                <w:lang w:bidi="ar"/>
              </w:rPr>
              <w:t>裁量幅度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AFF2F" w14:textId="3860687A" w:rsidR="006A0CF7" w:rsidRPr="006A0CF7" w:rsidRDefault="006A0CF7" w:rsidP="00863A14">
            <w:pPr>
              <w:widowControl/>
              <w:ind w:firstLine="420"/>
              <w:jc w:val="center"/>
              <w:rPr>
                <w:rFonts w:ascii="仿宋_GB2312" w:hAnsi="等线" w:cs="宋体"/>
                <w:kern w:val="0"/>
              </w:rPr>
            </w:pPr>
            <w:r w:rsidRPr="006A0CF7">
              <w:rPr>
                <w:rFonts w:ascii="仿宋_GB2312" w:hAnsi="等线" w:cs="宋体" w:hint="eastAsia"/>
                <w:kern w:val="0"/>
              </w:rPr>
              <w:t>2</w:t>
            </w:r>
            <w:r w:rsidRPr="006A0CF7">
              <w:rPr>
                <w:rFonts w:ascii="仿宋_GB2312" w:hAnsi="等线" w:cs="宋体"/>
                <w:kern w:val="0"/>
              </w:rPr>
              <w:t>00-1000</w:t>
            </w:r>
          </w:p>
        </w:tc>
      </w:tr>
      <w:tr w:rsidR="006A0CF7" w:rsidRPr="006A0CF7" w14:paraId="24596B82" w14:textId="77777777" w:rsidTr="00B7691C">
        <w:trPr>
          <w:trHeight w:val="20"/>
          <w:jc w:val="center"/>
        </w:trPr>
        <w:tc>
          <w:tcPr>
            <w:tcW w:w="11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8882E" w14:textId="77777777" w:rsidR="006A0CF7" w:rsidRPr="006A0CF7" w:rsidRDefault="006A0CF7" w:rsidP="00863A14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CF9E5" w14:textId="309A785E" w:rsidR="006A0CF7" w:rsidRPr="005B5B6C" w:rsidRDefault="006A0CF7" w:rsidP="005B5B6C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户外广告设施未拆除的，但未造成严重后果的</w:t>
            </w:r>
          </w:p>
        </w:tc>
        <w:tc>
          <w:tcPr>
            <w:tcW w:w="141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61B8DF9" w14:textId="77777777" w:rsidR="006A0CF7" w:rsidRPr="006A0CF7" w:rsidRDefault="006A0CF7" w:rsidP="00863A14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2263BF" w14:textId="0038C353" w:rsidR="006A0CF7" w:rsidRPr="006A0CF7" w:rsidRDefault="006A0CF7" w:rsidP="00863A14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仿宋_GB2312" w:hAnsi="Times New Roman"/>
                <w:kern w:val="0"/>
              </w:rPr>
              <w:t>1000-1500</w:t>
            </w:r>
          </w:p>
        </w:tc>
      </w:tr>
      <w:tr w:rsidR="006A0CF7" w:rsidRPr="006A0CF7" w14:paraId="5FF97F38" w14:textId="77777777" w:rsidTr="00B7691C">
        <w:trPr>
          <w:trHeight w:val="20"/>
          <w:jc w:val="center"/>
        </w:trPr>
        <w:tc>
          <w:tcPr>
            <w:tcW w:w="11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5332C5" w14:textId="77777777" w:rsidR="006A0CF7" w:rsidRPr="006A0CF7" w:rsidRDefault="006A0CF7" w:rsidP="00863A14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1C4" w14:textId="17CEC006" w:rsidR="006A0CF7" w:rsidRPr="005B5B6C" w:rsidRDefault="006A0CF7" w:rsidP="005B5B6C">
            <w:pPr>
              <w:widowControl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5B5B6C">
              <w:rPr>
                <w:rFonts w:ascii="宋体" w:eastAsia="宋体" w:hAnsi="宋体" w:cs="宋体" w:hint="eastAsia"/>
                <w:sz w:val="20"/>
                <w:szCs w:val="20"/>
              </w:rPr>
              <w:t>造成人员伤亡或者经济损失等严重后果的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2051D" w14:textId="77777777" w:rsidR="006A0CF7" w:rsidRPr="006A0CF7" w:rsidRDefault="006A0CF7" w:rsidP="00863A14">
            <w:pPr>
              <w:ind w:firstLine="420"/>
              <w:rPr>
                <w:rFonts w:ascii="等线" w:eastAsia="等线" w:hAnsi="等线" w:cs="等线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D2E6" w14:textId="6166D611" w:rsidR="006A0CF7" w:rsidRPr="006A0CF7" w:rsidRDefault="006A0CF7" w:rsidP="00863A14">
            <w:pPr>
              <w:widowControl/>
              <w:ind w:firstLine="420"/>
              <w:jc w:val="center"/>
              <w:rPr>
                <w:rFonts w:ascii="仿宋_GB2312" w:hAnsi="Times New Roman"/>
                <w:kern w:val="0"/>
              </w:rPr>
            </w:pPr>
            <w:r w:rsidRPr="006A0CF7">
              <w:rPr>
                <w:rFonts w:ascii="仿宋_GB2312" w:hAnsi="Times New Roman" w:hint="eastAsia"/>
                <w:kern w:val="0"/>
              </w:rPr>
              <w:t>1</w:t>
            </w:r>
            <w:r w:rsidRPr="006A0CF7">
              <w:rPr>
                <w:rFonts w:ascii="仿宋_GB2312" w:hAnsi="Times New Roman"/>
                <w:kern w:val="0"/>
              </w:rPr>
              <w:t>500-2000</w:t>
            </w:r>
          </w:p>
        </w:tc>
      </w:tr>
    </w:tbl>
    <w:p w14:paraId="61F234AE" w14:textId="1FEE5C25" w:rsidR="00153D26" w:rsidRDefault="00B7691C" w:rsidP="00153D26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153D26">
        <w:rPr>
          <w:rFonts w:ascii="仿宋_GB2312" w:eastAsia="仿宋_GB2312" w:hint="eastAsia"/>
          <w:sz w:val="32"/>
          <w:szCs w:val="32"/>
        </w:rPr>
        <w:t>删除权力编码为“</w:t>
      </w:r>
      <w:r w:rsidR="00153D26" w:rsidRPr="00153D26">
        <w:rPr>
          <w:rFonts w:ascii="仿宋_GB2312" w:eastAsia="仿宋_GB2312"/>
          <w:sz w:val="32"/>
          <w:szCs w:val="32"/>
        </w:rPr>
        <w:t>3202SZ137000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3202SZ138000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3202SZ139000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3202SZ140000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3202SZ143000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3202SZ191000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3202SZ192000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3202SZ193000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3202SZ194000</w:t>
      </w:r>
      <w:r w:rsidR="00153D26">
        <w:rPr>
          <w:rFonts w:ascii="仿宋_GB2312" w:eastAsia="仿宋_GB2312" w:hint="eastAsia"/>
          <w:sz w:val="32"/>
          <w:szCs w:val="32"/>
        </w:rPr>
        <w:t>”“</w:t>
      </w:r>
      <w:r w:rsidR="00153D26" w:rsidRPr="00153D26">
        <w:rPr>
          <w:rFonts w:ascii="仿宋_GB2312" w:eastAsia="仿宋_GB2312"/>
          <w:sz w:val="32"/>
          <w:szCs w:val="32"/>
        </w:rPr>
        <w:t>3202SZ196000</w:t>
      </w:r>
      <w:r w:rsidR="00153D26">
        <w:rPr>
          <w:rFonts w:ascii="仿宋_GB2312" w:eastAsia="仿宋_GB2312" w:hint="eastAsia"/>
          <w:sz w:val="32"/>
          <w:szCs w:val="32"/>
        </w:rPr>
        <w:t>”的裁量基准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6A96472" w14:textId="6B444671" w:rsidR="00B7691C" w:rsidRPr="006A0CF7" w:rsidRDefault="00B7691C" w:rsidP="00153D26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6A0CF7">
        <w:rPr>
          <w:rFonts w:ascii="仿宋_GB2312" w:eastAsia="仿宋_GB2312" w:hint="eastAsia"/>
          <w:sz w:val="32"/>
          <w:szCs w:val="32"/>
        </w:rPr>
        <w:t>《苏州市城市管理系统行政处罚裁量基准（</w:t>
      </w:r>
      <w:r>
        <w:rPr>
          <w:rFonts w:ascii="仿宋_GB2312" w:eastAsia="仿宋_GB2312" w:hint="eastAsia"/>
          <w:sz w:val="32"/>
          <w:szCs w:val="32"/>
        </w:rPr>
        <w:t>试行</w:t>
      </w:r>
      <w:r w:rsidRPr="006A0CF7">
        <w:rPr>
          <w:rFonts w:ascii="仿宋_GB2312" w:eastAsia="仿宋_GB2312" w:hint="eastAsia"/>
          <w:sz w:val="32"/>
          <w:szCs w:val="32"/>
        </w:rPr>
        <w:t>）》</w:t>
      </w:r>
      <w:r>
        <w:rPr>
          <w:rFonts w:ascii="仿宋_GB2312" w:eastAsia="仿宋_GB2312" w:hint="eastAsia"/>
          <w:sz w:val="32"/>
          <w:szCs w:val="32"/>
        </w:rPr>
        <w:t>与本通知不一致的，以本通知为准；</w:t>
      </w:r>
    </w:p>
    <w:p w14:paraId="135952FF" w14:textId="354F5E61" w:rsidR="00B7691C" w:rsidRPr="006A0CF7" w:rsidRDefault="00B7691C" w:rsidP="00B7691C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6A0CF7">
        <w:rPr>
          <w:rFonts w:ascii="仿宋_GB2312" w:eastAsia="仿宋_GB2312" w:hint="eastAsia"/>
          <w:sz w:val="32"/>
          <w:szCs w:val="32"/>
        </w:rPr>
        <w:t>本通知自</w:t>
      </w:r>
      <w:r w:rsidRPr="006A0CF7">
        <w:rPr>
          <w:rFonts w:ascii="仿宋_GB2312" w:eastAsia="仿宋_GB2312"/>
          <w:sz w:val="32"/>
          <w:szCs w:val="32"/>
        </w:rPr>
        <w:t>2024</w:t>
      </w:r>
      <w:r w:rsidRPr="006A0CF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6A0CF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Pr="006A0CF7">
        <w:rPr>
          <w:rFonts w:ascii="仿宋_GB2312" w:eastAsia="仿宋_GB2312" w:hint="eastAsia"/>
          <w:sz w:val="32"/>
          <w:szCs w:val="32"/>
        </w:rPr>
        <w:t>日起施行。有效期自2</w:t>
      </w:r>
      <w:r w:rsidRPr="006A0CF7">
        <w:rPr>
          <w:rFonts w:ascii="仿宋_GB2312" w:eastAsia="仿宋_GB2312"/>
          <w:sz w:val="32"/>
          <w:szCs w:val="32"/>
        </w:rPr>
        <w:t>024</w:t>
      </w:r>
      <w:r w:rsidRPr="006A0CF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6A0CF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6A0CF7">
        <w:rPr>
          <w:rFonts w:ascii="仿宋_GB2312" w:eastAsia="仿宋_GB2312" w:hint="eastAsia"/>
          <w:sz w:val="32"/>
          <w:szCs w:val="32"/>
        </w:rPr>
        <w:t>日至2</w:t>
      </w:r>
      <w:r w:rsidRPr="006A0CF7">
        <w:rPr>
          <w:rFonts w:ascii="仿宋_GB2312" w:eastAsia="仿宋_GB2312"/>
          <w:sz w:val="32"/>
          <w:szCs w:val="32"/>
        </w:rPr>
        <w:t>029</w:t>
      </w:r>
      <w:r w:rsidRPr="006A0CF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 w:rsidRPr="006A0CF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 w:rsidRPr="006A0CF7">
        <w:rPr>
          <w:rFonts w:ascii="仿宋_GB2312" w:eastAsia="仿宋_GB2312" w:hint="eastAsia"/>
          <w:sz w:val="32"/>
          <w:szCs w:val="32"/>
        </w:rPr>
        <w:t>日。</w:t>
      </w:r>
    </w:p>
    <w:p w14:paraId="247A7559" w14:textId="64D1BB9A" w:rsidR="00100699" w:rsidRPr="00B7691C" w:rsidRDefault="00100699" w:rsidP="00367A86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00699" w:rsidRPr="00B7691C" w:rsidSect="00C2514C">
      <w:footerReference w:type="default" r:id="rId6"/>
      <w:pgSz w:w="16838" w:h="11906" w:orient="landscape"/>
      <w:pgMar w:top="1531" w:right="2098" w:bottom="1531" w:left="1985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4E7C" w14:textId="77777777" w:rsidR="00C2514C" w:rsidRDefault="00C2514C" w:rsidP="002602F0">
      <w:r>
        <w:separator/>
      </w:r>
    </w:p>
  </w:endnote>
  <w:endnote w:type="continuationSeparator" w:id="0">
    <w:p w14:paraId="59C7E4D5" w14:textId="77777777" w:rsidR="00C2514C" w:rsidRDefault="00C2514C" w:rsidP="002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9255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48B9A6" w14:textId="2C521313" w:rsidR="002602F0" w:rsidRPr="002602F0" w:rsidRDefault="002602F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2F0">
          <w:rPr>
            <w:rFonts w:ascii="Times New Roman" w:eastAsiaTheme="minorHAnsi" w:hAnsi="Times New Roman" w:cs="Times New Roman"/>
            <w:sz w:val="28"/>
            <w:szCs w:val="28"/>
          </w:rPr>
          <w:t>－</w:t>
        </w:r>
        <w:r w:rsidRPr="002602F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602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2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2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602F0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2602F0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602F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602F0">
          <w:rPr>
            <w:rFonts w:ascii="Times New Roman" w:eastAsiaTheme="minorHAnsi" w:hAnsi="Times New Roman" w:cs="Times New Roman"/>
            <w:sz w:val="28"/>
            <w:szCs w:val="28"/>
          </w:rPr>
          <w:t>－</w:t>
        </w:r>
      </w:p>
    </w:sdtContent>
  </w:sdt>
  <w:p w14:paraId="70348320" w14:textId="77777777" w:rsidR="002602F0" w:rsidRDefault="002602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E46E" w14:textId="77777777" w:rsidR="00C2514C" w:rsidRDefault="00C2514C" w:rsidP="002602F0">
      <w:r>
        <w:separator/>
      </w:r>
    </w:p>
  </w:footnote>
  <w:footnote w:type="continuationSeparator" w:id="0">
    <w:p w14:paraId="75D1B052" w14:textId="77777777" w:rsidR="00C2514C" w:rsidRDefault="00C2514C" w:rsidP="0026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A6"/>
    <w:rsid w:val="00003A21"/>
    <w:rsid w:val="0005225F"/>
    <w:rsid w:val="00070EDC"/>
    <w:rsid w:val="00100699"/>
    <w:rsid w:val="00153D26"/>
    <w:rsid w:val="002602F0"/>
    <w:rsid w:val="003135E8"/>
    <w:rsid w:val="00367A86"/>
    <w:rsid w:val="004C6C05"/>
    <w:rsid w:val="0057405A"/>
    <w:rsid w:val="00590B72"/>
    <w:rsid w:val="005B5B6C"/>
    <w:rsid w:val="006A0CF7"/>
    <w:rsid w:val="006C5E2A"/>
    <w:rsid w:val="007073CC"/>
    <w:rsid w:val="00810C6E"/>
    <w:rsid w:val="00863A14"/>
    <w:rsid w:val="008706A6"/>
    <w:rsid w:val="009E0A16"/>
    <w:rsid w:val="00B7691C"/>
    <w:rsid w:val="00BF5F36"/>
    <w:rsid w:val="00C2514C"/>
    <w:rsid w:val="00E2165D"/>
    <w:rsid w:val="00F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644B"/>
  <w15:chartTrackingRefBased/>
  <w15:docId w15:val="{497C49A4-7E9E-4C10-BEAF-3E15F461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0B72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590B72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590B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0B72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590B72"/>
    <w:rPr>
      <w:b/>
      <w:bCs/>
    </w:rPr>
  </w:style>
  <w:style w:type="paragraph" w:styleId="a8">
    <w:name w:val="header"/>
    <w:basedOn w:val="a"/>
    <w:link w:val="a9"/>
    <w:uiPriority w:val="99"/>
    <w:unhideWhenUsed/>
    <w:rsid w:val="002602F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602F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6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602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郁萍萍</dc:creator>
  <cp:keywords/>
  <dc:description/>
  <cp:lastModifiedBy>郁萍萍</cp:lastModifiedBy>
  <cp:revision>6</cp:revision>
  <dcterms:created xsi:type="dcterms:W3CDTF">2024-02-20T02:42:00Z</dcterms:created>
  <dcterms:modified xsi:type="dcterms:W3CDTF">2024-03-07T02:08:00Z</dcterms:modified>
</cp:coreProperties>
</file>