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8A" w:rsidRDefault="00562B43">
      <w:pPr>
        <w:adjustRightInd w:val="0"/>
        <w:snapToGrid w:val="0"/>
        <w:spacing w:before="100" w:beforeAutospacing="1" w:after="100" w:afterAutospacing="1" w:line="600" w:lineRule="exact"/>
        <w:jc w:val="center"/>
        <w:rPr>
          <w:rFonts w:ascii="Times New Roman" w:eastAsia="方正小标宋简体" w:hAnsi="Times New Roman"/>
          <w:snapToGrid w:val="0"/>
          <w:spacing w:val="-4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snapToGrid w:val="0"/>
          <w:spacing w:val="-4"/>
          <w:kern w:val="0"/>
          <w:sz w:val="44"/>
          <w:szCs w:val="44"/>
        </w:rPr>
        <w:t>苏州市城管系统“三服务”专项行动工作举措</w:t>
      </w:r>
    </w:p>
    <w:tbl>
      <w:tblPr>
        <w:tblW w:w="4865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626"/>
        <w:gridCol w:w="2090"/>
        <w:gridCol w:w="2710"/>
        <w:gridCol w:w="6310"/>
        <w:gridCol w:w="1579"/>
        <w:gridCol w:w="916"/>
      </w:tblGrid>
      <w:tr w:rsidR="00CB198A">
        <w:trPr>
          <w:trHeight w:val="454"/>
          <w:tblHeader/>
          <w:jc w:val="center"/>
        </w:trPr>
        <w:tc>
          <w:tcPr>
            <w:tcW w:w="627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eastAsia="黑体" w:hAnsi="Times New Roman" w:hint="eastAsia"/>
                <w:snapToGrid w:val="0"/>
                <w:spacing w:val="-4"/>
                <w:kern w:val="0"/>
                <w:szCs w:val="21"/>
              </w:rPr>
              <w:t>序号</w:t>
            </w:r>
          </w:p>
        </w:tc>
        <w:tc>
          <w:tcPr>
            <w:tcW w:w="2090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eastAsia="黑体" w:hAnsi="Times New Roman" w:hint="eastAsia"/>
                <w:snapToGrid w:val="0"/>
                <w:spacing w:val="-4"/>
                <w:kern w:val="0"/>
                <w:szCs w:val="21"/>
              </w:rPr>
              <w:t>服务举措名称</w:t>
            </w:r>
          </w:p>
        </w:tc>
        <w:tc>
          <w:tcPr>
            <w:tcW w:w="2710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eastAsia="黑体" w:hAnsi="Times New Roman" w:hint="eastAsia"/>
                <w:snapToGrid w:val="0"/>
                <w:spacing w:val="-4"/>
                <w:kern w:val="0"/>
                <w:szCs w:val="21"/>
              </w:rPr>
              <w:t>针对的问题</w:t>
            </w:r>
          </w:p>
        </w:tc>
        <w:tc>
          <w:tcPr>
            <w:tcW w:w="6310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eastAsia="黑体" w:hAnsi="Times New Roman" w:hint="eastAsia"/>
                <w:snapToGrid w:val="0"/>
                <w:spacing w:val="-4"/>
                <w:kern w:val="0"/>
                <w:szCs w:val="21"/>
              </w:rPr>
              <w:t>主</w:t>
            </w:r>
            <w:r>
              <w:rPr>
                <w:rFonts w:ascii="Times New Roman" w:eastAsia="黑体" w:hAnsi="Times New Roman" w:hint="eastAsia"/>
                <w:snapToGrid w:val="0"/>
                <w:spacing w:val="-4"/>
                <w:kern w:val="0"/>
                <w:szCs w:val="21"/>
              </w:rPr>
              <w:t xml:space="preserve">   </w:t>
            </w:r>
            <w:r>
              <w:rPr>
                <w:rFonts w:ascii="Times New Roman" w:eastAsia="黑体" w:hAnsi="Times New Roman" w:hint="eastAsia"/>
                <w:snapToGrid w:val="0"/>
                <w:spacing w:val="-4"/>
                <w:kern w:val="0"/>
                <w:szCs w:val="21"/>
              </w:rPr>
              <w:t>要</w:t>
            </w:r>
            <w:r>
              <w:rPr>
                <w:rFonts w:ascii="Times New Roman" w:eastAsia="黑体" w:hAnsi="Times New Roman" w:hint="eastAsia"/>
                <w:snapToGrid w:val="0"/>
                <w:spacing w:val="-4"/>
                <w:kern w:val="0"/>
                <w:szCs w:val="21"/>
              </w:rPr>
              <w:t xml:space="preserve">   </w:t>
            </w:r>
            <w:r>
              <w:rPr>
                <w:rFonts w:ascii="Times New Roman" w:eastAsia="黑体" w:hAnsi="Times New Roman" w:hint="eastAsia"/>
                <w:snapToGrid w:val="0"/>
                <w:spacing w:val="-4"/>
                <w:kern w:val="0"/>
                <w:szCs w:val="21"/>
              </w:rPr>
              <w:t>内</w:t>
            </w:r>
            <w:r>
              <w:rPr>
                <w:rFonts w:ascii="Times New Roman" w:eastAsia="黑体" w:hAnsi="Times New Roman" w:hint="eastAsia"/>
                <w:snapToGrid w:val="0"/>
                <w:spacing w:val="-4"/>
                <w:kern w:val="0"/>
                <w:szCs w:val="21"/>
              </w:rPr>
              <w:t xml:space="preserve">   </w:t>
            </w:r>
            <w:r>
              <w:rPr>
                <w:rFonts w:ascii="Times New Roman" w:eastAsia="黑体" w:hAnsi="Times New Roman" w:hint="eastAsia"/>
                <w:snapToGrid w:val="0"/>
                <w:spacing w:val="-4"/>
                <w:kern w:val="0"/>
                <w:szCs w:val="21"/>
              </w:rPr>
              <w:t>容</w:t>
            </w:r>
          </w:p>
        </w:tc>
        <w:tc>
          <w:tcPr>
            <w:tcW w:w="1579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eastAsia="黑体" w:hAnsi="Times New Roman" w:hint="eastAsia"/>
                <w:snapToGrid w:val="0"/>
                <w:spacing w:val="-4"/>
                <w:kern w:val="0"/>
                <w:szCs w:val="21"/>
              </w:rPr>
              <w:t>市局涉及部门</w:t>
            </w:r>
          </w:p>
        </w:tc>
        <w:tc>
          <w:tcPr>
            <w:tcW w:w="916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eastAsia="黑体" w:hAnsi="Times New Roman" w:hint="eastAsia"/>
                <w:snapToGrid w:val="0"/>
                <w:spacing w:val="-4"/>
                <w:kern w:val="0"/>
                <w:szCs w:val="21"/>
              </w:rPr>
              <w:t>类别</w:t>
            </w:r>
          </w:p>
        </w:tc>
      </w:tr>
      <w:tr w:rsidR="00CB198A">
        <w:trPr>
          <w:trHeight w:val="2538"/>
          <w:jc w:val="center"/>
        </w:trPr>
        <w:tc>
          <w:tcPr>
            <w:tcW w:w="627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</w:t>
            </w:r>
          </w:p>
        </w:tc>
        <w:tc>
          <w:tcPr>
            <w:tcW w:w="2090" w:type="dxa"/>
            <w:vAlign w:val="center"/>
          </w:tcPr>
          <w:p w:rsidR="00CB198A" w:rsidRDefault="00562B43">
            <w:pPr>
              <w:pStyle w:val="HTML"/>
              <w:shd w:val="clear" w:color="auto" w:fill="FFFFFF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  <w:shd w:val="clear" w:color="auto" w:fill="FFFFFF"/>
              </w:rPr>
              <w:t>推进疏导点提升</w:t>
            </w:r>
          </w:p>
          <w:p w:rsidR="00CB198A" w:rsidRDefault="00CB198A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</w:p>
        </w:tc>
        <w:tc>
          <w:tcPr>
            <w:tcW w:w="2710" w:type="dxa"/>
            <w:vAlign w:val="center"/>
          </w:tcPr>
          <w:p w:rsidR="00CB198A" w:rsidRDefault="00562B43">
            <w:pPr>
              <w:adjustRightInd w:val="0"/>
              <w:snapToGrid w:val="0"/>
              <w:jc w:val="left"/>
              <w:rPr>
                <w:rFonts w:ascii="宋体" w:hAnsi="宋体" w:cs="宋体"/>
                <w:snapToGrid w:val="0"/>
                <w:color w:val="000000"/>
                <w:spacing w:val="-4"/>
                <w:kern w:val="0"/>
                <w:szCs w:val="21"/>
                <w:lang/>
              </w:rPr>
            </w:pPr>
            <w:r>
              <w:rPr>
                <w:rFonts w:ascii="宋体" w:hAnsi="宋体" w:cs="宋体" w:hint="eastAsia"/>
                <w:snapToGrid w:val="0"/>
                <w:color w:val="000000"/>
                <w:spacing w:val="-4"/>
                <w:kern w:val="0"/>
                <w:szCs w:val="21"/>
                <w:lang/>
              </w:rPr>
              <w:t>流动摊点占道经营，影响通行、污染环境，导致市民、商家投诉，部分疏导点设置不规范、硬件配备与日常管理不到位等问题</w:t>
            </w:r>
          </w:p>
        </w:tc>
        <w:tc>
          <w:tcPr>
            <w:tcW w:w="6310" w:type="dxa"/>
            <w:vAlign w:val="center"/>
          </w:tcPr>
          <w:p w:rsidR="00CB198A" w:rsidRDefault="00562B43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  <w:shd w:val="clear" w:color="auto" w:fill="FFFFFF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shd w:val="clear" w:color="auto" w:fill="FFFFFF"/>
                <w:lang/>
              </w:rPr>
              <w:t>1.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shd w:val="clear" w:color="auto" w:fill="FFFFFF"/>
                <w:lang/>
              </w:rPr>
              <w:t>坚持堵疏结合，持续推动流动摊点综合治理，利用春节前后学生放假、务工人员返乡等有利时机，加大投诉多发区域攻坚力度，保持执法管理高压态势，持续形成紧的氛围；</w:t>
            </w:r>
          </w:p>
          <w:p w:rsidR="00CB198A" w:rsidRDefault="00562B43"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  <w:shd w:val="clear" w:color="auto" w:fill="FFFFFF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shd w:val="clear" w:color="auto" w:fill="FFFFFF"/>
                <w:lang/>
              </w:rPr>
              <w:t>2.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shd w:val="clear" w:color="auto" w:fill="FFFFFF"/>
                <w:lang/>
              </w:rPr>
              <w:t>持续深化源头治理，协同住建、公安、市场监管等部门，对燃气、“三小车”、食品安全等强化溯源管理，严控摊点新增；</w:t>
            </w:r>
          </w:p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shd w:val="clear" w:color="auto" w:fill="FFFFFF"/>
                <w:lang/>
              </w:rPr>
              <w:t>3.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shd w:val="clear" w:color="auto" w:fill="FFFFFF"/>
                <w:lang/>
              </w:rPr>
              <w:t>规范提升疏导点，引导摊点进入疏导点规范经营，</w:t>
            </w:r>
            <w:r>
              <w:rPr>
                <w:rFonts w:ascii="宋体" w:hAnsi="宋体" w:cs="宋体" w:hint="eastAsia"/>
                <w:kern w:val="0"/>
                <w:szCs w:val="21"/>
                <w:shd w:val="clear" w:color="auto" w:fill="FFFFFF"/>
                <w:lang/>
              </w:rPr>
              <w:t>对市民、商家投诉的就地疏导区域“一点一策”关停并转，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shd w:val="clear" w:color="auto" w:fill="FFFFFF"/>
                <w:lang/>
              </w:rPr>
              <w:t>加强疏导点日常规范管理，确保外部无流动摊点“抢生意”。</w:t>
            </w:r>
          </w:p>
        </w:tc>
        <w:tc>
          <w:tcPr>
            <w:tcW w:w="1579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shd w:val="clear" w:color="auto" w:fill="FFFFFF"/>
                <w:lang/>
              </w:rPr>
              <w:t>市容处、执法处、智慧处</w:t>
            </w:r>
          </w:p>
        </w:tc>
        <w:tc>
          <w:tcPr>
            <w:tcW w:w="916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服务企业</w:t>
            </w:r>
          </w:p>
        </w:tc>
      </w:tr>
      <w:tr w:rsidR="00CB198A">
        <w:trPr>
          <w:trHeight w:val="3603"/>
          <w:jc w:val="center"/>
        </w:trPr>
        <w:tc>
          <w:tcPr>
            <w:tcW w:w="627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</w:t>
            </w:r>
          </w:p>
        </w:tc>
        <w:tc>
          <w:tcPr>
            <w:tcW w:w="2090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服务商家户外经营</w:t>
            </w:r>
          </w:p>
        </w:tc>
        <w:tc>
          <w:tcPr>
            <w:tcW w:w="2710" w:type="dxa"/>
            <w:vAlign w:val="center"/>
          </w:tcPr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商家擅自超出门窗、外墙进行店外占道经营、作业或者展示商品；擅自占用道路、公共广场等城市公共空间开设集市、举办活动</w:t>
            </w:r>
          </w:p>
        </w:tc>
        <w:tc>
          <w:tcPr>
            <w:tcW w:w="6310" w:type="dxa"/>
            <w:vAlign w:val="center"/>
          </w:tcPr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因地制宜扩容允许合规店外经营的区域范围、业态、时段，满足商家外摆需求；</w:t>
            </w:r>
          </w:p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有序支持利用公共广场等城市公共空间举办户外文化商业活动、设置特色市集，规范疏导占道经营；</w:t>
            </w:r>
          </w:p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3.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学习借鉴上海、深圳、杭州等先进城市经验，收集商家诉求形成需求清单，不断丰富政策举措；</w:t>
            </w:r>
          </w:p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4.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加大政策宣传推广力度，做到应知尽知，拓展政策受益面；为有经常性开展户外经营活动需求的商圈、商家，配备服务专员，提供高效服务；</w:t>
            </w:r>
          </w:p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5.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优化涉企审批服务，推广“一件事一次办”“线上办”，提高审批时效；坚持包容审慎监管，落实涉企“免罚轻罚”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5.0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清单。</w:t>
            </w:r>
          </w:p>
        </w:tc>
        <w:tc>
          <w:tcPr>
            <w:tcW w:w="1579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snapToGrid w:val="0"/>
                <w:spacing w:val="-4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shd w:val="clear" w:color="auto" w:fill="FFFFFF"/>
                <w:lang/>
              </w:rPr>
              <w:t>市容处、</w:t>
            </w:r>
            <w:r>
              <w:rPr>
                <w:rFonts w:hint="eastAsia"/>
                <w:snapToGrid w:val="0"/>
                <w:spacing w:val="-4"/>
                <w:kern w:val="0"/>
                <w:szCs w:val="21"/>
              </w:rPr>
              <w:t>法规处、执法处</w:t>
            </w:r>
          </w:p>
        </w:tc>
        <w:tc>
          <w:tcPr>
            <w:tcW w:w="916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服务企业</w:t>
            </w:r>
          </w:p>
        </w:tc>
      </w:tr>
      <w:tr w:rsidR="00CB198A">
        <w:trPr>
          <w:trHeight w:val="2813"/>
          <w:jc w:val="center"/>
        </w:trPr>
        <w:tc>
          <w:tcPr>
            <w:tcW w:w="627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lastRenderedPageBreak/>
              <w:t>3</w:t>
            </w:r>
          </w:p>
        </w:tc>
        <w:tc>
          <w:tcPr>
            <w:tcW w:w="2090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非机动车停放有位有序</w:t>
            </w:r>
          </w:p>
        </w:tc>
        <w:tc>
          <w:tcPr>
            <w:tcW w:w="2710" w:type="dxa"/>
            <w:vAlign w:val="center"/>
          </w:tcPr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重点商圈、商业街区公共空间停车泊位不足，非机动车乱停乱放突出，标识标线不规范、管理责任未压实、市民有序停放意识不强等问题</w:t>
            </w:r>
          </w:p>
        </w:tc>
        <w:tc>
          <w:tcPr>
            <w:tcW w:w="6310" w:type="dxa"/>
            <w:vAlign w:val="center"/>
          </w:tcPr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对接资源规划、住建等部门，针对商业、文化场馆、交通站点、学校、医院等非机动车停放需求大的项目，在规划设计阶段预留非机动车停车区域，保障内部员工、市民顾客停放需求；</w:t>
            </w:r>
          </w:p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排摸重点商圈、商业街区等停车难、停车乱的点位，“一点一策”挖掘资源新增泊位，规范施划标识标线；针对快递、外卖等即停即走的人群，因地制宜设置弹性停放空间；</w:t>
            </w:r>
          </w:p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3.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强化重点区域日常巡查与专项整治，落实“劝导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-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改正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-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处罚”管理举措；</w:t>
            </w:r>
          </w:p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4.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指导共享（电）单车运营企业、快递外卖平台企业落实管理责任，畅通市民投诉渠道，多渠道宣传引导，凝聚共治合力，破解停车难、乱停放问题。</w:t>
            </w:r>
          </w:p>
        </w:tc>
        <w:tc>
          <w:tcPr>
            <w:tcW w:w="1579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shd w:val="clear" w:color="auto" w:fill="FFFFFF"/>
                <w:lang/>
              </w:rPr>
              <w:t>市容处、</w:t>
            </w:r>
            <w:r>
              <w:rPr>
                <w:rFonts w:hint="eastAsia"/>
                <w:snapToGrid w:val="0"/>
                <w:spacing w:val="-4"/>
                <w:kern w:val="0"/>
                <w:szCs w:val="21"/>
              </w:rPr>
              <w:t>市政处、执法处、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管停所</w:t>
            </w:r>
          </w:p>
        </w:tc>
        <w:tc>
          <w:tcPr>
            <w:tcW w:w="916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服务企业</w:t>
            </w:r>
          </w:p>
        </w:tc>
      </w:tr>
      <w:tr w:rsidR="00CB198A">
        <w:trPr>
          <w:trHeight w:val="5244"/>
          <w:jc w:val="center"/>
        </w:trPr>
        <w:tc>
          <w:tcPr>
            <w:tcW w:w="627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4</w:t>
            </w:r>
          </w:p>
        </w:tc>
        <w:tc>
          <w:tcPr>
            <w:tcW w:w="2090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宋体" w:hAnsi="宋体" w:cs="宋体" w:hint="eastAsia"/>
                <w:snapToGrid w:val="0"/>
                <w:color w:val="000000"/>
                <w:spacing w:val="-4"/>
                <w:kern w:val="0"/>
                <w:szCs w:val="21"/>
              </w:rPr>
              <w:t>做好商家环卫服务</w:t>
            </w:r>
          </w:p>
        </w:tc>
        <w:tc>
          <w:tcPr>
            <w:tcW w:w="2710" w:type="dxa"/>
            <w:vAlign w:val="center"/>
          </w:tcPr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针对商家环卫服务中基础保洁不到位、垃圾清运不及时、重点区域保洁标准不高、餐厨垃圾收运效率有待提升、公厕服务品质不均以及环卫企业保障薄弱等问题</w:t>
            </w:r>
          </w:p>
        </w:tc>
        <w:tc>
          <w:tcPr>
            <w:tcW w:w="6310" w:type="dxa"/>
            <w:vAlign w:val="center"/>
          </w:tcPr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强化基础保洁。针对特殊时段、重点区域客流量激增情况，增加保洁力量、延长保洁时间、加密收运频次；选取核心商圈、窗口区域全力打造精细化保洁样板区，试点使用无人清扫车等智</w:t>
            </w: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能化设备，营造整洁优美、宜商宜客的街区环境；结合“洁净家园日”专项行动，引导社区、商户、物业共同参与沿街沿线环境大扫除，做好垃圾清运处置兜底</w:t>
            </w: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；</w:t>
            </w:r>
          </w:p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优化餐厨垃圾收运。针对餐饮集中区、商业繁华街区等，优化收运路线和时间，合理增加收运频次，推广“定时定点”与“预约收运”相结合的模式，构建“商铺－临时垃圾桶－餐厨清运车”闭环体系；加密餐饮集中区夜间保洁频次，增设垃圾收运“夜宵专线”，实现日产日清</w:t>
            </w: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；</w:t>
            </w:r>
          </w:p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3.</w:t>
            </w: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升级公厕服务。持续推进公厕新改建，提升公厕密度，稳步扩大厕纸提供、温水洗手等便民服务覆盖面，普及无障碍设施，提高“第三卫生间”覆盖率，增设便民服务箱，体现人文关怀；在旅游景点、重点商圈等人流密集场所附近，鼓励因地制宜创新打造“特色公厕”，助力商业引流</w:t>
            </w: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；</w:t>
            </w:r>
          </w:p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4.</w:t>
            </w: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服务环卫企业。组织开展环卫企业调研，定期掌握环卫作业、运输、终端处置等全链条企业的运行情况、费用支付情况、企业面临的实际困难与诉求等；建立预警机制，防范</w:t>
            </w:r>
            <w:bookmarkStart w:id="0" w:name="_GoBack"/>
            <w:bookmarkEnd w:id="0"/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支付风险，积极将环卫行业支出和环卫工人工资纳入“三保”，建立环卫工人工资专用账户，守牢不欠薪底线。</w:t>
            </w:r>
          </w:p>
        </w:tc>
        <w:tc>
          <w:tcPr>
            <w:tcW w:w="1579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环管处</w:t>
            </w: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、</w:t>
            </w:r>
            <w:r>
              <w:rPr>
                <w:rFonts w:ascii="Times New Roman" w:hAnsi="Times New Roman" w:hint="eastAsia"/>
                <w:snapToGrid w:val="0"/>
                <w:color w:val="000000"/>
                <w:spacing w:val="-4"/>
                <w:kern w:val="0"/>
                <w:szCs w:val="21"/>
              </w:rPr>
              <w:t>市环卫处</w:t>
            </w:r>
          </w:p>
        </w:tc>
        <w:tc>
          <w:tcPr>
            <w:tcW w:w="916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服务企业</w:t>
            </w:r>
          </w:p>
        </w:tc>
      </w:tr>
      <w:tr w:rsidR="00CB198A">
        <w:trPr>
          <w:trHeight w:val="2363"/>
          <w:jc w:val="center"/>
        </w:trPr>
        <w:tc>
          <w:tcPr>
            <w:tcW w:w="627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lastRenderedPageBreak/>
              <w:t>5</w:t>
            </w:r>
          </w:p>
        </w:tc>
        <w:tc>
          <w:tcPr>
            <w:tcW w:w="2090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强化服务，推进招牌焕新</w:t>
            </w:r>
          </w:p>
        </w:tc>
        <w:tc>
          <w:tcPr>
            <w:tcW w:w="2710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古城店铺、老字号店铺等需要更新品牌视觉形象，增加识别度，但缺乏优质设计资源；</w:t>
            </w:r>
          </w:p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部分商家店招更新资金不足，部分青年小店存在创业困难，需要经营支持；</w:t>
            </w:r>
          </w:p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3.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城管一线工作人员服务商家能力、设计安装公司安全意识待提升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。</w:t>
            </w:r>
          </w:p>
        </w:tc>
        <w:tc>
          <w:tcPr>
            <w:tcW w:w="6310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推进招牌焕新项目。链接设计资源，引入社会公益力量，提供资金补贴，帮助店铺焕新户外招牌，提供创业助跑保障、智慧经营工具赋能、线上线下引流服务、品牌打造宣传、经营培训、信息咨询等相关服务；</w:t>
            </w:r>
          </w:p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扩充设计库存。鼓励各地通过优选征集等多途径收集招牌设计优秀案例，扩充招牌设计资源库，提供精品案例，对商家免费开放；</w:t>
            </w:r>
          </w:p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3.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优化服务流程。完善出台《苏州市户外广告和招牌设置指导手册》，以“安全为本、服务为先”为原则，指导广告设计企业在遵守安全规范基础上优化设计，指导城管一线工作人员在树立安全意识前提下优化服务。</w:t>
            </w:r>
          </w:p>
        </w:tc>
        <w:tc>
          <w:tcPr>
            <w:tcW w:w="1579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广告处、执法处</w:t>
            </w:r>
          </w:p>
        </w:tc>
        <w:tc>
          <w:tcPr>
            <w:tcW w:w="916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服务企业</w:t>
            </w:r>
          </w:p>
        </w:tc>
      </w:tr>
      <w:tr w:rsidR="00CB198A">
        <w:trPr>
          <w:trHeight w:val="2338"/>
          <w:jc w:val="center"/>
        </w:trPr>
        <w:tc>
          <w:tcPr>
            <w:tcW w:w="627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6</w:t>
            </w:r>
          </w:p>
        </w:tc>
        <w:tc>
          <w:tcPr>
            <w:tcW w:w="2090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完善停车管理服务</w:t>
            </w:r>
          </w:p>
        </w:tc>
        <w:tc>
          <w:tcPr>
            <w:tcW w:w="2710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商圈、景区等重点区域停车难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。</w:t>
            </w:r>
          </w:p>
        </w:tc>
        <w:tc>
          <w:tcPr>
            <w:tcW w:w="6310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增加停车泊位供给。聚焦商圈、景区等停车矛盾突出的重点区域，通过立体停车设施建设、零星地块利用、路内泊位施划等方式增加泊位供给，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2026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年全年计划新增重点区域机动车公共停车泊位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3000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个；</w:t>
            </w:r>
          </w:p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推行停车资源共享。按照“能开放、则开放”原则，配合机关事务局推动党政机关事业单位内部停车泊位对外开放，鼓励有条件的其他单位积极参与，有效盘活既有停车资源，优化资源配置，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2026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年全年计划新增共享停车泊位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1000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个；</w:t>
            </w:r>
          </w:p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3.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大力推进“通停通付”。持续完善平台服务功能，做好新增经营性停车场点接入，加强数据日常监测，提高车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位周转效率，加大宣传推广，提升平台知晓度，进一步提升停车智慧化管理水平。</w:t>
            </w:r>
          </w:p>
        </w:tc>
        <w:tc>
          <w:tcPr>
            <w:tcW w:w="1579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市政处、智慧处、管停所</w:t>
            </w:r>
          </w:p>
        </w:tc>
        <w:tc>
          <w:tcPr>
            <w:tcW w:w="916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服务企业</w:t>
            </w:r>
          </w:p>
        </w:tc>
      </w:tr>
      <w:tr w:rsidR="00CB198A">
        <w:trPr>
          <w:trHeight w:val="1988"/>
          <w:jc w:val="center"/>
        </w:trPr>
        <w:tc>
          <w:tcPr>
            <w:tcW w:w="627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7</w:t>
            </w:r>
          </w:p>
        </w:tc>
        <w:tc>
          <w:tcPr>
            <w:tcW w:w="2090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优化城市照明品质</w:t>
            </w:r>
          </w:p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助力夜间经济发展</w:t>
            </w:r>
          </w:p>
        </w:tc>
        <w:tc>
          <w:tcPr>
            <w:tcW w:w="2710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城市功能照明仍存在盲点暗区；</w:t>
            </w:r>
          </w:p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景观照明精细化管理水平需进一步提升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。</w:t>
            </w:r>
          </w:p>
        </w:tc>
        <w:tc>
          <w:tcPr>
            <w:tcW w:w="6310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进一步提升城市照明设施亮灯率，优化基础照明。深入开展城市照明暗区消除，全方位排查梳理城市照明盲点暗区，重点关注商业区、园区等节点周边照明设施，优化城市照明环境，确保路灯亮灯率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99%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以上，景观灯亮灯率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98%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以上，路灯及景观灯设施完好率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96%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以上；</w:t>
            </w:r>
          </w:p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优化开关灯场景，提升中心城区照明。探索景区特色照明方案提升，在关键节点区域增设特色光影秀、灯光小品，配合市名保集团等单位，打造城市夜间靓丽焦点，提升城市夜景品质；</w:t>
            </w:r>
          </w:p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3.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精细做好灯光控制。适应季节、天气变化，对城市景观照明启闭时间进行精细化调整，分区分类控制夜景灯光展示模式，根据实际情况及时调整重点区域景观照明时长，做好相关灯光表演的协调、配合和监管工作，助力夜间经济发展。</w:t>
            </w:r>
          </w:p>
        </w:tc>
        <w:tc>
          <w:tcPr>
            <w:tcW w:w="1579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市政处、</w:t>
            </w:r>
          </w:p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市政管理中心</w:t>
            </w:r>
          </w:p>
        </w:tc>
        <w:tc>
          <w:tcPr>
            <w:tcW w:w="916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服务企业</w:t>
            </w:r>
          </w:p>
        </w:tc>
      </w:tr>
      <w:tr w:rsidR="00CB198A">
        <w:trPr>
          <w:trHeight w:val="1328"/>
          <w:jc w:val="center"/>
        </w:trPr>
        <w:tc>
          <w:tcPr>
            <w:tcW w:w="627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lastRenderedPageBreak/>
              <w:t>8</w:t>
            </w:r>
          </w:p>
        </w:tc>
        <w:tc>
          <w:tcPr>
            <w:tcW w:w="2090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着力提升消纳能力</w:t>
            </w:r>
          </w:p>
        </w:tc>
        <w:tc>
          <w:tcPr>
            <w:tcW w:w="2710" w:type="dxa"/>
            <w:vAlign w:val="center"/>
          </w:tcPr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市内消纳资源稀缺、不平衡；</w:t>
            </w:r>
          </w:p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市外消纳资源不透明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。</w:t>
            </w:r>
          </w:p>
          <w:p w:rsidR="00CB198A" w:rsidRDefault="00CB198A">
            <w:pPr>
              <w:adjustRightInd w:val="0"/>
              <w:snapToGrid w:val="0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</w:p>
        </w:tc>
        <w:tc>
          <w:tcPr>
            <w:tcW w:w="6310" w:type="dxa"/>
            <w:vAlign w:val="center"/>
          </w:tcPr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推动市内消纳资源规划项目落地，对接资规部门动态调整规划项目，规划外已落地纳规，规划内未落地剔除；</w:t>
            </w:r>
          </w:p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积极推动市区两级与省内市外地区建立消纳处置合作机制；</w:t>
            </w:r>
          </w:p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3.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依托渣土资源信息平台，推动消纳资源市场公开化、透明化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。</w:t>
            </w:r>
          </w:p>
        </w:tc>
        <w:tc>
          <w:tcPr>
            <w:tcW w:w="1579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固废处、智慧处</w:t>
            </w:r>
          </w:p>
        </w:tc>
        <w:tc>
          <w:tcPr>
            <w:tcW w:w="916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服务项目</w:t>
            </w:r>
          </w:p>
        </w:tc>
      </w:tr>
      <w:tr w:rsidR="00CB198A">
        <w:trPr>
          <w:trHeight w:val="1448"/>
          <w:jc w:val="center"/>
        </w:trPr>
        <w:tc>
          <w:tcPr>
            <w:tcW w:w="627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9</w:t>
            </w:r>
          </w:p>
        </w:tc>
        <w:tc>
          <w:tcPr>
            <w:tcW w:w="2090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优化备案审批流程</w:t>
            </w:r>
          </w:p>
        </w:tc>
        <w:tc>
          <w:tcPr>
            <w:tcW w:w="2710" w:type="dxa"/>
            <w:vAlign w:val="center"/>
          </w:tcPr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项目审批备案材料要求高、专业性强；</w:t>
            </w:r>
          </w:p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项目审批备案涉及部门和环节较多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。</w:t>
            </w:r>
          </w:p>
        </w:tc>
        <w:tc>
          <w:tcPr>
            <w:tcW w:w="6310" w:type="dxa"/>
            <w:vAlign w:val="center"/>
          </w:tcPr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主动对接并指导帮助项目单位开展建筑垃圾审批备案工作，推行并联审批，将项目备案、运输处置核准、消纳入库核准等环节并联办理，压缩审批时限；</w:t>
            </w:r>
          </w:p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  <w:t>2.</w:t>
            </w:r>
            <w:r>
              <w:rPr>
                <w:rFonts w:ascii="宋体" w:hAnsi="宋体" w:cs="宋体" w:hint="eastAsia"/>
                <w:snapToGrid w:val="0"/>
                <w:spacing w:val="-4"/>
                <w:kern w:val="0"/>
                <w:szCs w:val="21"/>
              </w:rPr>
              <w:t>对重大项目开通“绿色”办理通道，对非核心材料缺失的项目采取容缺许可，允许“先受理、后补件”，同步开展审批工作</w:t>
            </w:r>
            <w:r>
              <w:rPr>
                <w:rFonts w:ascii="宋体" w:hAnsi="宋体" w:cs="宋体" w:hint="eastAsia"/>
                <w:snapToGrid w:val="0"/>
                <w:spacing w:val="-4"/>
                <w:kern w:val="0"/>
                <w:szCs w:val="21"/>
              </w:rPr>
              <w:t>。</w:t>
            </w:r>
          </w:p>
        </w:tc>
        <w:tc>
          <w:tcPr>
            <w:tcW w:w="1579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固废处、智慧处、法规处</w:t>
            </w:r>
          </w:p>
        </w:tc>
        <w:tc>
          <w:tcPr>
            <w:tcW w:w="916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服务项目</w:t>
            </w:r>
          </w:p>
        </w:tc>
      </w:tr>
      <w:tr w:rsidR="00CB198A">
        <w:trPr>
          <w:trHeight w:val="1758"/>
          <w:jc w:val="center"/>
        </w:trPr>
        <w:tc>
          <w:tcPr>
            <w:tcW w:w="627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10</w:t>
            </w:r>
          </w:p>
        </w:tc>
        <w:tc>
          <w:tcPr>
            <w:tcW w:w="2090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提升项目服务能力</w:t>
            </w:r>
          </w:p>
        </w:tc>
        <w:tc>
          <w:tcPr>
            <w:tcW w:w="2710" w:type="dxa"/>
            <w:vAlign w:val="center"/>
          </w:tcPr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管理平台功能不够完善，平台运行不够稳定，使用界面不够简洁清晰；</w:t>
            </w:r>
          </w:p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相关管理要求和制度的执行受制与项目负责人员的业务能力；</w:t>
            </w:r>
          </w:p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3.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项目出土调度影响因素多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。</w:t>
            </w:r>
          </w:p>
        </w:tc>
        <w:tc>
          <w:tcPr>
            <w:tcW w:w="6310" w:type="dxa"/>
            <w:vAlign w:val="center"/>
          </w:tcPr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着力提升平台稳定性和使用便捷度，界面设计更加简洁精炼，数据串联更加丰富。精简和优化系统功能，提升系统流畅度；</w:t>
            </w:r>
          </w:p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深化“一工地一联系人”和“项目专员”制度，主动靠前服务；</w:t>
            </w:r>
          </w:p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3.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重大项目建立联席会议制度，“一事一议”针对性解决问题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。</w:t>
            </w:r>
          </w:p>
        </w:tc>
        <w:tc>
          <w:tcPr>
            <w:tcW w:w="1579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固废处、智慧处、执法处</w:t>
            </w:r>
          </w:p>
        </w:tc>
        <w:tc>
          <w:tcPr>
            <w:tcW w:w="916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服务项目</w:t>
            </w:r>
          </w:p>
        </w:tc>
      </w:tr>
      <w:tr w:rsidR="00CB198A">
        <w:trPr>
          <w:trHeight w:val="3083"/>
          <w:jc w:val="center"/>
        </w:trPr>
        <w:tc>
          <w:tcPr>
            <w:tcW w:w="627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11</w:t>
            </w:r>
          </w:p>
        </w:tc>
        <w:tc>
          <w:tcPr>
            <w:tcW w:w="2090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加强城管执法制度标准体系建设</w:t>
            </w:r>
          </w:p>
        </w:tc>
        <w:tc>
          <w:tcPr>
            <w:tcW w:w="2710" w:type="dxa"/>
            <w:vAlign w:val="center"/>
          </w:tcPr>
          <w:p w:rsidR="00CB198A" w:rsidRDefault="00562B43">
            <w:pPr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城市管理执法领域部分工作存在制度建设不健全、对基层服务保障不足等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。</w:t>
            </w:r>
          </w:p>
        </w:tc>
        <w:tc>
          <w:tcPr>
            <w:tcW w:w="6310" w:type="dxa"/>
            <w:vAlign w:val="center"/>
          </w:tcPr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制定重点领域的执法办案工作指引，为建立城管执法的标准化体系奠定基础，围绕生活垃圾分类执法保障，制定《生活垃圾分类执法工作手册》；</w:t>
            </w:r>
          </w:p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聚焦城管执法队伍规范化建设，对相关规范、制度、标准进行全面梳理和查漏补缺，制定《苏州市城市管理行政执法队伍队容风纪管理规定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(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试行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)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》《苏州市城市管理行政执法装备配备使用管理规定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(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试行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)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》；</w:t>
            </w:r>
          </w:p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3.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主动参与《苏州市建筑垃圾管理条例》立法工作，为开展全链条建筑垃圾违法违规行为执法打击提供法治支撑；</w:t>
            </w:r>
          </w:p>
          <w:p w:rsidR="00CB198A" w:rsidRDefault="00562B43">
            <w:pPr>
              <w:adjustRightInd w:val="0"/>
              <w:snapToGrid w:val="0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4.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推进违法建设治理顶层设计，针对在建违建拆除、新交付小区违建管控等出台务实管用的工作机制、制度，同步推动违法建设治理办法出台。</w:t>
            </w:r>
          </w:p>
        </w:tc>
        <w:tc>
          <w:tcPr>
            <w:tcW w:w="1579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/>
                <w:snapToGrid w:val="0"/>
                <w:spacing w:val="-4"/>
                <w:kern w:val="0"/>
                <w:szCs w:val="21"/>
              </w:rPr>
              <w:t>法规处、执法处、环管处、固废处</w:t>
            </w:r>
          </w:p>
        </w:tc>
        <w:tc>
          <w:tcPr>
            <w:tcW w:w="916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服务基层</w:t>
            </w:r>
          </w:p>
        </w:tc>
      </w:tr>
      <w:tr w:rsidR="00CB198A">
        <w:trPr>
          <w:trHeight w:val="3520"/>
          <w:jc w:val="center"/>
        </w:trPr>
        <w:tc>
          <w:tcPr>
            <w:tcW w:w="627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lastRenderedPageBreak/>
              <w:t>12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推进基层共治构建城市治理共同体</w:t>
            </w:r>
          </w:p>
        </w:tc>
        <w:tc>
          <w:tcPr>
            <w:tcW w:w="2710" w:type="dxa"/>
            <w:shd w:val="clear" w:color="auto" w:fill="auto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城市管理工作融入基层治理还需进一步加强；群众参与治理的积极性还需进一步激发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。</w:t>
            </w:r>
          </w:p>
        </w:tc>
        <w:tc>
          <w:tcPr>
            <w:tcW w:w="6310" w:type="dxa"/>
            <w:shd w:val="clear" w:color="auto" w:fill="auto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推进城管进社区工作提质扩面增效。全力推进城市管理融入基层治理，推动各地社区城管队员担任社区党组织兼职委员，推动宣传、管理、服务、执法进社区，到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2026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年底，实现城市社区类型（普通商品房社区、老街巷社区、动迁安置社区、村改居社区）全覆盖，城市管理进社区覆盖率不低于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60%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，达成城市管理从“被动管理”向“主动服务”、从“末端执法”向“源头治理”的系统性变革；</w:t>
            </w:r>
          </w:p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2.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鼓励基层创新。不断探索有效的城市管理进社区工作的载体和方式，因地制宜打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造特色品牌，努力形成“一社区一特色，一镇（街）一品牌”工作局面；</w:t>
            </w:r>
          </w:p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3.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壮大“百姓监督员”队伍。健全参与机制，畅通参与渠道，积极引导市民群众有序参与城市管理，营造全民共同参与城市管理的“共建共治共享”良好氛围。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执法处、执法监督局</w:t>
            </w:r>
          </w:p>
        </w:tc>
        <w:tc>
          <w:tcPr>
            <w:tcW w:w="916" w:type="dxa"/>
            <w:vAlign w:val="center"/>
          </w:tcPr>
          <w:p w:rsidR="00CB198A" w:rsidRDefault="00562B43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服务基层</w:t>
            </w:r>
          </w:p>
        </w:tc>
      </w:tr>
      <w:tr w:rsidR="00CB198A">
        <w:trPr>
          <w:trHeight w:val="2928"/>
          <w:jc w:val="center"/>
        </w:trPr>
        <w:tc>
          <w:tcPr>
            <w:tcW w:w="627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13</w:t>
            </w:r>
          </w:p>
        </w:tc>
        <w:tc>
          <w:tcPr>
            <w:tcW w:w="2090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科技赋能智慧城市管理</w:t>
            </w:r>
          </w:p>
        </w:tc>
        <w:tc>
          <w:tcPr>
            <w:tcW w:w="2710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基层</w:t>
            </w:r>
            <w:r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  <w:t>人员力量不足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，效能不强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。</w:t>
            </w:r>
          </w:p>
        </w:tc>
        <w:tc>
          <w:tcPr>
            <w:tcW w:w="6310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建立健全上下贯通、融合业务、智慧高效及技术应用的运管服平台，逐步实现城市运行管理服务“一网统管”。探索拓展基层诉求受理通道，收集群众关于市容环境、市政设施、停车管理等方面的投诉建议，加强分析研判，推动问题闭环解决，强效解决群众急难愁盼问题。构建城市管理领域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AI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模型资源池，拓展“人工智能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+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城市管理”应用场景，提高城市管理行业监管和服务的智能化水平。推动环卫领域车辆（作业机具）绿色化智能化更新，大力拓展智能化作业场景。借力“综合飞一次”模式，拓展无人机在城市管理与服务领域的应用，智慧赋能提升日常管理效率。</w:t>
            </w:r>
          </w:p>
        </w:tc>
        <w:tc>
          <w:tcPr>
            <w:tcW w:w="1579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机关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各</w:t>
            </w: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业务处室</w:t>
            </w:r>
          </w:p>
        </w:tc>
        <w:tc>
          <w:tcPr>
            <w:tcW w:w="916" w:type="dxa"/>
            <w:vAlign w:val="center"/>
          </w:tcPr>
          <w:p w:rsidR="00CB198A" w:rsidRDefault="00562B4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pacing w:val="-4"/>
                <w:kern w:val="0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pacing w:val="-4"/>
                <w:kern w:val="0"/>
                <w:szCs w:val="21"/>
              </w:rPr>
              <w:t>服务基层</w:t>
            </w:r>
          </w:p>
        </w:tc>
      </w:tr>
    </w:tbl>
    <w:p w:rsidR="00CB198A" w:rsidRDefault="00562B43">
      <w:pPr>
        <w:rPr>
          <w:rFonts w:ascii="Times New Roman" w:eastAsia="仿宋_GB2312" w:hAnsi="Times New Roman"/>
          <w:snapToGrid w:val="0"/>
          <w:spacing w:val="-4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spacing w:val="-4"/>
          <w:kern w:val="0"/>
          <w:sz w:val="32"/>
          <w:szCs w:val="32"/>
        </w:rPr>
        <w:br w:type="page"/>
      </w:r>
    </w:p>
    <w:p w:rsidR="00CB198A" w:rsidRDefault="00CB198A">
      <w:pPr>
        <w:adjustRightInd w:val="0"/>
        <w:snapToGrid w:val="0"/>
        <w:spacing w:line="14" w:lineRule="exact"/>
        <w:ind w:firstLineChars="1700" w:firstLine="5304"/>
        <w:jc w:val="left"/>
        <w:rPr>
          <w:rFonts w:ascii="Times New Roman" w:eastAsia="仿宋_GB2312" w:hAnsi="Times New Roman"/>
          <w:snapToGrid w:val="0"/>
          <w:spacing w:val="-4"/>
          <w:kern w:val="0"/>
          <w:sz w:val="32"/>
          <w:szCs w:val="32"/>
        </w:rPr>
        <w:sectPr w:rsidR="00CB198A">
          <w:footerReference w:type="default" r:id="rId7"/>
          <w:pgSz w:w="16838" w:h="11906" w:orient="landscape"/>
          <w:pgMar w:top="1559" w:right="1134" w:bottom="1559" w:left="1134" w:header="851" w:footer="1134" w:gutter="0"/>
          <w:cols w:space="0"/>
          <w:docGrid w:type="lines" w:linePitch="312"/>
        </w:sectPr>
      </w:pPr>
    </w:p>
    <w:tbl>
      <w:tblPr>
        <w:tblStyle w:val="a9"/>
        <w:tblpPr w:leftFromText="180" w:rightFromText="180" w:vertAnchor="text" w:horzAnchor="page" w:tblpX="1697" w:tblpY="12054"/>
        <w:tblOverlap w:val="never"/>
        <w:tblW w:w="0" w:type="auto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844"/>
      </w:tblGrid>
      <w:tr w:rsidR="00CB198A">
        <w:trPr>
          <w:trHeight w:hRule="exact" w:val="586"/>
        </w:trPr>
        <w:tc>
          <w:tcPr>
            <w:tcW w:w="8844" w:type="dxa"/>
            <w:tcBorders>
              <w:tl2br w:val="nil"/>
              <w:tr2bl w:val="nil"/>
            </w:tcBorders>
            <w:noWrap/>
            <w:vAlign w:val="center"/>
          </w:tcPr>
          <w:p w:rsidR="00CB198A" w:rsidRDefault="00562B43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苏州市城市管理局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        2026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22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日印发</w:t>
            </w:r>
          </w:p>
        </w:tc>
      </w:tr>
    </w:tbl>
    <w:p w:rsidR="00CB198A" w:rsidRDefault="00CB198A">
      <w:pPr>
        <w:adjustRightInd w:val="0"/>
        <w:snapToGrid w:val="0"/>
        <w:spacing w:line="14" w:lineRule="exact"/>
        <w:ind w:firstLineChars="1700" w:firstLine="5304"/>
        <w:jc w:val="left"/>
        <w:rPr>
          <w:rFonts w:ascii="Times New Roman" w:eastAsia="仿宋_GB2312" w:hAnsi="Times New Roman"/>
          <w:snapToGrid w:val="0"/>
          <w:spacing w:val="-4"/>
          <w:kern w:val="0"/>
          <w:sz w:val="32"/>
          <w:szCs w:val="32"/>
        </w:rPr>
      </w:pPr>
    </w:p>
    <w:sectPr w:rsidR="00CB198A" w:rsidSect="00CB198A">
      <w:pgSz w:w="11906" w:h="16838"/>
      <w:pgMar w:top="2098" w:right="1474" w:bottom="1984" w:left="1587" w:header="851" w:footer="1134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2B43" w:rsidRDefault="00562B43" w:rsidP="00CB198A">
      <w:r>
        <w:separator/>
      </w:r>
    </w:p>
  </w:endnote>
  <w:endnote w:type="continuationSeparator" w:id="1">
    <w:p w:rsidR="00562B43" w:rsidRDefault="00562B43" w:rsidP="00CB19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EC7D853B-3041-4489-BFC5-B0DBBF2B09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仿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13115584-59CE-4136-97CF-C5F10D50480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charset w:val="86"/>
    <w:family w:val="auto"/>
    <w:pitch w:val="default"/>
    <w:sig w:usb0="00000001" w:usb1="08000000" w:usb2="00000000" w:usb3="00000000" w:csb0="00040000" w:csb1="00000000"/>
    <w:embedRegular r:id="rId3" w:subsetted="1" w:fontKey="{06A73E69-47B0-4D31-82A1-7170B500FC87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8A" w:rsidRDefault="00562B43">
    <w:pPr>
      <w:pStyle w:val="a5"/>
      <w:jc w:val="center"/>
      <w:rPr>
        <w:rFonts w:ascii="宋体" w:hAnsi="宋体"/>
        <w:sz w:val="30"/>
        <w:szCs w:val="30"/>
      </w:rPr>
    </w:pPr>
    <w:r>
      <w:rPr>
        <w:rFonts w:ascii="宋体" w:hAnsi="宋体" w:cs="宋体" w:hint="eastAsia"/>
        <w:sz w:val="28"/>
        <w:szCs w:val="28"/>
      </w:rPr>
      <w:t>—</w:t>
    </w:r>
    <w:r>
      <w:rPr>
        <w:rFonts w:ascii="宋体" w:hAnsi="宋体" w:cs="宋体" w:hint="eastAsia"/>
        <w:sz w:val="28"/>
        <w:szCs w:val="28"/>
      </w:rPr>
      <w:t xml:space="preserve"> </w:t>
    </w:r>
    <w:r w:rsidR="00CB198A">
      <w:rPr>
        <w:rFonts w:ascii="宋体" w:hAnsi="宋体" w:cs="宋体" w:hint="eastAsia"/>
        <w:sz w:val="28"/>
        <w:szCs w:val="28"/>
      </w:rPr>
      <w:fldChar w:fldCharType="begin"/>
    </w:r>
    <w:r>
      <w:rPr>
        <w:rFonts w:ascii="宋体" w:hAnsi="宋体" w:cs="宋体" w:hint="eastAsia"/>
        <w:sz w:val="28"/>
        <w:szCs w:val="28"/>
      </w:rPr>
      <w:instrText xml:space="preserve"> PAGE   \* MERGEFORMAT </w:instrText>
    </w:r>
    <w:r w:rsidR="00CB198A">
      <w:rPr>
        <w:rFonts w:ascii="宋体" w:hAnsi="宋体" w:cs="宋体" w:hint="eastAsia"/>
        <w:sz w:val="28"/>
        <w:szCs w:val="28"/>
      </w:rPr>
      <w:fldChar w:fldCharType="separate"/>
    </w:r>
    <w:r w:rsidR="00562A33" w:rsidRPr="00562A33">
      <w:rPr>
        <w:rFonts w:ascii="宋体" w:hAnsi="宋体" w:cs="宋体"/>
        <w:noProof/>
        <w:sz w:val="28"/>
        <w:szCs w:val="28"/>
        <w:lang w:val="zh-CN"/>
      </w:rPr>
      <w:t>1</w:t>
    </w:r>
    <w:r w:rsidR="00CB198A">
      <w:rPr>
        <w:rFonts w:ascii="宋体" w:hAnsi="宋体" w:cs="宋体" w:hint="eastAsia"/>
        <w:sz w:val="28"/>
        <w:szCs w:val="28"/>
      </w:rPr>
      <w:fldChar w:fldCharType="end"/>
    </w:r>
    <w:r>
      <w:rPr>
        <w:rFonts w:ascii="宋体" w:hAnsi="宋体" w:cs="宋体" w:hint="eastAsia"/>
        <w:sz w:val="28"/>
        <w:szCs w:val="28"/>
      </w:rPr>
      <w:t xml:space="preserve"> </w:t>
    </w:r>
    <w:r>
      <w:rPr>
        <w:rFonts w:ascii="宋体" w:hAnsi="宋体" w:cs="宋体" w:hint="eastAsia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2B43" w:rsidRDefault="00562B43" w:rsidP="00CB198A">
      <w:r>
        <w:separator/>
      </w:r>
    </w:p>
  </w:footnote>
  <w:footnote w:type="continuationSeparator" w:id="1">
    <w:p w:rsidR="00562B43" w:rsidRDefault="00562B43" w:rsidP="00CB19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2B428D9"/>
    <w:rsid w:val="F7EEFB27"/>
    <w:rsid w:val="FF7F948E"/>
    <w:rsid w:val="00010010"/>
    <w:rsid w:val="0007532A"/>
    <w:rsid w:val="001556EA"/>
    <w:rsid w:val="001956DC"/>
    <w:rsid w:val="001E21FB"/>
    <w:rsid w:val="001E68A4"/>
    <w:rsid w:val="002015EF"/>
    <w:rsid w:val="00286600"/>
    <w:rsid w:val="0030015B"/>
    <w:rsid w:val="00342969"/>
    <w:rsid w:val="00485047"/>
    <w:rsid w:val="004A2D13"/>
    <w:rsid w:val="004C56AA"/>
    <w:rsid w:val="004D7A9A"/>
    <w:rsid w:val="00547633"/>
    <w:rsid w:val="00562A33"/>
    <w:rsid w:val="00562B43"/>
    <w:rsid w:val="005C076F"/>
    <w:rsid w:val="005C0F6E"/>
    <w:rsid w:val="00635D85"/>
    <w:rsid w:val="00636C0B"/>
    <w:rsid w:val="006F44DC"/>
    <w:rsid w:val="00776003"/>
    <w:rsid w:val="007F7107"/>
    <w:rsid w:val="008534B6"/>
    <w:rsid w:val="00880008"/>
    <w:rsid w:val="008F68D1"/>
    <w:rsid w:val="00963F0A"/>
    <w:rsid w:val="00A6188D"/>
    <w:rsid w:val="00B00763"/>
    <w:rsid w:val="00B05F95"/>
    <w:rsid w:val="00B159B8"/>
    <w:rsid w:val="00BA416A"/>
    <w:rsid w:val="00CB198A"/>
    <w:rsid w:val="00CC1BB4"/>
    <w:rsid w:val="00D43CD0"/>
    <w:rsid w:val="00D722D4"/>
    <w:rsid w:val="00D8285B"/>
    <w:rsid w:val="00E47936"/>
    <w:rsid w:val="00E71C70"/>
    <w:rsid w:val="00EA1EBA"/>
    <w:rsid w:val="00EC31F0"/>
    <w:rsid w:val="00FC3CFE"/>
    <w:rsid w:val="01B0019A"/>
    <w:rsid w:val="03FF4A2E"/>
    <w:rsid w:val="048F7622"/>
    <w:rsid w:val="04FD6088"/>
    <w:rsid w:val="05DD246D"/>
    <w:rsid w:val="06060EDA"/>
    <w:rsid w:val="071661B3"/>
    <w:rsid w:val="0CB06EE4"/>
    <w:rsid w:val="0E782F04"/>
    <w:rsid w:val="0E7D2A2C"/>
    <w:rsid w:val="118447F4"/>
    <w:rsid w:val="131D0F14"/>
    <w:rsid w:val="13A80CCC"/>
    <w:rsid w:val="13AD2810"/>
    <w:rsid w:val="13B13573"/>
    <w:rsid w:val="14D56A06"/>
    <w:rsid w:val="17005B37"/>
    <w:rsid w:val="170B184E"/>
    <w:rsid w:val="18300B23"/>
    <w:rsid w:val="1C024584"/>
    <w:rsid w:val="1DF74F4B"/>
    <w:rsid w:val="22B428D9"/>
    <w:rsid w:val="23424069"/>
    <w:rsid w:val="24F861D1"/>
    <w:rsid w:val="25682E9E"/>
    <w:rsid w:val="26031A5F"/>
    <w:rsid w:val="260B52F2"/>
    <w:rsid w:val="274D3BF8"/>
    <w:rsid w:val="279E360D"/>
    <w:rsid w:val="28AD778A"/>
    <w:rsid w:val="297D0620"/>
    <w:rsid w:val="2CF66774"/>
    <w:rsid w:val="2F415E31"/>
    <w:rsid w:val="2F911B4E"/>
    <w:rsid w:val="2FFD4BC9"/>
    <w:rsid w:val="308919DA"/>
    <w:rsid w:val="368C50F8"/>
    <w:rsid w:val="37C8622A"/>
    <w:rsid w:val="37FFF641"/>
    <w:rsid w:val="38645BE2"/>
    <w:rsid w:val="393308EA"/>
    <w:rsid w:val="3C6B187A"/>
    <w:rsid w:val="3F934DC5"/>
    <w:rsid w:val="422F781B"/>
    <w:rsid w:val="429E2362"/>
    <w:rsid w:val="42C77519"/>
    <w:rsid w:val="433526D0"/>
    <w:rsid w:val="43581EAC"/>
    <w:rsid w:val="447F9431"/>
    <w:rsid w:val="44F85C75"/>
    <w:rsid w:val="45E674DD"/>
    <w:rsid w:val="48CD4733"/>
    <w:rsid w:val="4B4F775C"/>
    <w:rsid w:val="4C695899"/>
    <w:rsid w:val="4E416644"/>
    <w:rsid w:val="50846E67"/>
    <w:rsid w:val="51934A1B"/>
    <w:rsid w:val="53A80EAF"/>
    <w:rsid w:val="56AD6CCC"/>
    <w:rsid w:val="5778D28D"/>
    <w:rsid w:val="59505C28"/>
    <w:rsid w:val="595F01D1"/>
    <w:rsid w:val="5ABA5A4E"/>
    <w:rsid w:val="5B150ED7"/>
    <w:rsid w:val="5DF844F3"/>
    <w:rsid w:val="5EE906B0"/>
    <w:rsid w:val="5F0A40E6"/>
    <w:rsid w:val="5F77446B"/>
    <w:rsid w:val="63CE4319"/>
    <w:rsid w:val="63DC3A8B"/>
    <w:rsid w:val="686504D6"/>
    <w:rsid w:val="693B0936"/>
    <w:rsid w:val="6B1D1E43"/>
    <w:rsid w:val="6C045C39"/>
    <w:rsid w:val="6EB32344"/>
    <w:rsid w:val="6FA11CDA"/>
    <w:rsid w:val="70B2124A"/>
    <w:rsid w:val="71B66B18"/>
    <w:rsid w:val="75E72905"/>
    <w:rsid w:val="77A314B1"/>
    <w:rsid w:val="78AA0A59"/>
    <w:rsid w:val="796C21B2"/>
    <w:rsid w:val="7EE37583"/>
    <w:rsid w:val="7EEE5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Body Text Indent" w:qFormat="1"/>
    <w:lsdException w:name="Message Header" w:uiPriority="99" w:unhideWhenUsed="1" w:qFormat="1"/>
    <w:lsdException w:name="Subtitle" w:qFormat="1"/>
    <w:lsdException w:name="Body Text First Indent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198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CB198A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rsid w:val="00CB198A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4">
    <w:name w:val="heading 4"/>
    <w:basedOn w:val="a"/>
    <w:next w:val="a"/>
    <w:qFormat/>
    <w:rsid w:val="00CB198A"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rsid w:val="00CB198A"/>
    <w:pPr>
      <w:spacing w:after="120"/>
    </w:pPr>
  </w:style>
  <w:style w:type="paragraph" w:styleId="a4">
    <w:name w:val="Balloon Text"/>
    <w:basedOn w:val="a"/>
    <w:link w:val="Char"/>
    <w:qFormat/>
    <w:rsid w:val="00CB198A"/>
    <w:rPr>
      <w:sz w:val="18"/>
      <w:szCs w:val="18"/>
    </w:rPr>
  </w:style>
  <w:style w:type="paragraph" w:styleId="a5">
    <w:name w:val="footer"/>
    <w:basedOn w:val="a"/>
    <w:link w:val="Char0"/>
    <w:uiPriority w:val="99"/>
    <w:qFormat/>
    <w:rsid w:val="00CB198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CB198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Message Header"/>
    <w:basedOn w:val="a"/>
    <w:uiPriority w:val="99"/>
    <w:unhideWhenUsed/>
    <w:qFormat/>
    <w:rsid w:val="00CB198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/>
      <w:sz w:val="24"/>
    </w:rPr>
  </w:style>
  <w:style w:type="paragraph" w:styleId="HTML">
    <w:name w:val="HTML Preformatted"/>
    <w:basedOn w:val="a"/>
    <w:qFormat/>
    <w:rsid w:val="00CB19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8">
    <w:name w:val="Body Text First Indent"/>
    <w:basedOn w:val="a3"/>
    <w:qFormat/>
    <w:rsid w:val="00CB198A"/>
    <w:pPr>
      <w:adjustRightInd w:val="0"/>
      <w:snapToGrid w:val="0"/>
      <w:spacing w:line="360" w:lineRule="auto"/>
      <w:ind w:firstLineChars="100" w:firstLine="420"/>
    </w:pPr>
    <w:rPr>
      <w:rFonts w:eastAsia="方正仿宋简体"/>
      <w:kern w:val="32"/>
    </w:rPr>
  </w:style>
  <w:style w:type="table" w:styleId="a9">
    <w:name w:val="Table Grid"/>
    <w:uiPriority w:val="39"/>
    <w:qFormat/>
    <w:rsid w:val="00CB1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Hyperlink"/>
    <w:qFormat/>
    <w:rsid w:val="00CB198A"/>
    <w:rPr>
      <w:color w:val="0000FF"/>
      <w:u w:val="single"/>
    </w:rPr>
  </w:style>
  <w:style w:type="character" w:customStyle="1" w:styleId="Char0">
    <w:name w:val="页脚 Char"/>
    <w:link w:val="a5"/>
    <w:uiPriority w:val="99"/>
    <w:qFormat/>
    <w:rsid w:val="00CB198A"/>
    <w:rPr>
      <w:kern w:val="2"/>
      <w:sz w:val="18"/>
      <w:szCs w:val="24"/>
    </w:rPr>
  </w:style>
  <w:style w:type="character" w:customStyle="1" w:styleId="font01">
    <w:name w:val="font01"/>
    <w:qFormat/>
    <w:rsid w:val="00CB198A"/>
    <w:rPr>
      <w:rFonts w:ascii="仿宋_GB2312" w:eastAsia="仿宋_GB2312" w:hint="eastAsia"/>
      <w:color w:val="000000"/>
      <w:sz w:val="24"/>
      <w:szCs w:val="24"/>
      <w:u w:val="none"/>
    </w:rPr>
  </w:style>
  <w:style w:type="character" w:customStyle="1" w:styleId="font51">
    <w:name w:val="font51"/>
    <w:qFormat/>
    <w:rsid w:val="00CB198A"/>
    <w:rPr>
      <w:rFonts w:ascii="MS Gothic" w:eastAsia="MS Gothic" w:hAnsi="MS Gothic" w:hint="eastAsia"/>
      <w:color w:val="000000"/>
      <w:sz w:val="24"/>
      <w:szCs w:val="24"/>
      <w:u w:val="none"/>
    </w:rPr>
  </w:style>
  <w:style w:type="character" w:customStyle="1" w:styleId="Char">
    <w:name w:val="批注框文本 Char"/>
    <w:basedOn w:val="a0"/>
    <w:link w:val="a4"/>
    <w:qFormat/>
    <w:rsid w:val="00CB198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672</Words>
  <Characters>3833</Characters>
  <Application>Microsoft Office Word</Application>
  <DocSecurity>0</DocSecurity>
  <Lines>31</Lines>
  <Paragraphs>8</Paragraphs>
  <ScaleCrop>false</ScaleCrop>
  <Company>Sky123.Org</Company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顾静瑜</dc:creator>
  <cp:lastModifiedBy>Dongkn</cp:lastModifiedBy>
  <cp:revision>7</cp:revision>
  <cp:lastPrinted>2026-01-22T05:21:00Z</cp:lastPrinted>
  <dcterms:created xsi:type="dcterms:W3CDTF">2026-01-09T00:18:00Z</dcterms:created>
  <dcterms:modified xsi:type="dcterms:W3CDTF">2026-10-22T06:30:00Z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9E0ACBB52EFC4AF6A3E1C4E9D6AF7A5B_13</vt:lpwstr>
  </property>
  <property fmtid="{D5CDD505-2E9C-101B-9397-08002B2CF9AE}" pid="4" name="KSOTemplateDocerSaveRecord">
    <vt:lpwstr>eyJoZGlkIjoiZTM0MmIwNGU3MGM2NmVhM2ZlZmVjNjZjMzcyY2UxNDUiLCJ1c2VySWQiOiIyNTcyMDc1NDEifQ==</vt:lpwstr>
  </property>
</Properties>
</file>